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3AF98" w14:textId="77777777" w:rsidR="00927F9A" w:rsidRPr="00BD7305" w:rsidRDefault="00927F9A" w:rsidP="00F602A1">
      <w:pPr>
        <w:widowControl w:val="0"/>
        <w:spacing w:after="0" w:line="240" w:lineRule="auto"/>
        <w:ind w:left="5670" w:right="283"/>
        <w:rPr>
          <w:rFonts w:ascii="Times New Roman" w:eastAsia="Times New Roman" w:hAnsi="Times New Roman" w:cs="Times New Roman"/>
          <w:b/>
          <w:snapToGrid w:val="0"/>
          <w:sz w:val="24"/>
          <w:szCs w:val="24"/>
          <w:lang w:eastAsia="ru-RU"/>
        </w:rPr>
      </w:pPr>
      <w:r w:rsidRPr="00BD7305">
        <w:rPr>
          <w:rFonts w:ascii="Times New Roman" w:eastAsia="Times New Roman" w:hAnsi="Times New Roman" w:cs="Times New Roman"/>
          <w:b/>
          <w:snapToGrid w:val="0"/>
          <w:sz w:val="24"/>
          <w:szCs w:val="24"/>
          <w:lang w:eastAsia="ru-RU"/>
        </w:rPr>
        <w:t>УТВЕРЖДЕНА</w:t>
      </w:r>
    </w:p>
    <w:p w14:paraId="046412F2" w14:textId="77777777" w:rsidR="00927F9A" w:rsidRPr="00BD7305" w:rsidRDefault="00927F9A" w:rsidP="00F602A1">
      <w:pPr>
        <w:tabs>
          <w:tab w:val="left" w:pos="993"/>
        </w:tabs>
        <w:autoSpaceDE w:val="0"/>
        <w:autoSpaceDN w:val="0"/>
        <w:spacing w:after="0" w:line="240" w:lineRule="auto"/>
        <w:ind w:left="5670" w:right="283"/>
        <w:rPr>
          <w:rFonts w:ascii="Times New Roman" w:eastAsia="Times New Roman" w:hAnsi="Times New Roman" w:cs="Times New Roman"/>
          <w:sz w:val="24"/>
          <w:szCs w:val="24"/>
          <w:lang w:eastAsia="ru-RU"/>
        </w:rPr>
      </w:pPr>
      <w:r w:rsidRPr="00BD7305">
        <w:rPr>
          <w:rFonts w:ascii="Times New Roman" w:eastAsia="Times New Roman" w:hAnsi="Times New Roman" w:cs="Times New Roman"/>
          <w:sz w:val="24"/>
          <w:szCs w:val="24"/>
          <w:lang w:eastAsia="ru-RU"/>
        </w:rPr>
        <w:t xml:space="preserve">Приказом Председателя </w:t>
      </w:r>
    </w:p>
    <w:p w14:paraId="7F8EABF9" w14:textId="1C20780B" w:rsidR="00927F9A" w:rsidRPr="00BD7305" w:rsidRDefault="00927F9A" w:rsidP="001C5966">
      <w:pPr>
        <w:tabs>
          <w:tab w:val="left" w:pos="993"/>
        </w:tabs>
        <w:autoSpaceDE w:val="0"/>
        <w:autoSpaceDN w:val="0"/>
        <w:spacing w:after="0" w:line="240" w:lineRule="auto"/>
        <w:ind w:left="5670" w:right="283"/>
        <w:rPr>
          <w:rFonts w:ascii="Times New Roman" w:eastAsia="Times New Roman" w:hAnsi="Times New Roman" w:cs="Times New Roman"/>
          <w:sz w:val="24"/>
          <w:szCs w:val="24"/>
          <w:lang w:eastAsia="ru-RU"/>
        </w:rPr>
      </w:pPr>
      <w:r w:rsidRPr="00BD7305">
        <w:rPr>
          <w:rFonts w:ascii="Times New Roman" w:eastAsia="Times New Roman" w:hAnsi="Times New Roman" w:cs="Times New Roman"/>
          <w:sz w:val="24"/>
          <w:szCs w:val="24"/>
          <w:lang w:eastAsia="ru-RU"/>
        </w:rPr>
        <w:t xml:space="preserve">РГУ «Комитет </w:t>
      </w:r>
      <w:r w:rsidR="001C5966">
        <w:rPr>
          <w:rFonts w:ascii="Times New Roman" w:eastAsia="Times New Roman" w:hAnsi="Times New Roman" w:cs="Times New Roman"/>
          <w:sz w:val="24"/>
          <w:szCs w:val="24"/>
          <w:lang w:eastAsia="ru-RU"/>
        </w:rPr>
        <w:t xml:space="preserve">медицинского и фармацевтического </w:t>
      </w:r>
      <w:r w:rsidRPr="00BD7305">
        <w:rPr>
          <w:rFonts w:ascii="Times New Roman" w:eastAsia="Times New Roman" w:hAnsi="Times New Roman" w:cs="Times New Roman"/>
          <w:sz w:val="24"/>
          <w:szCs w:val="24"/>
          <w:lang w:eastAsia="ru-RU"/>
        </w:rPr>
        <w:t xml:space="preserve">контроля </w:t>
      </w:r>
    </w:p>
    <w:p w14:paraId="1F687E46" w14:textId="77777777" w:rsidR="00927F9A" w:rsidRPr="00BD7305" w:rsidRDefault="00927F9A" w:rsidP="00F602A1">
      <w:pPr>
        <w:keepNext/>
        <w:tabs>
          <w:tab w:val="left" w:pos="993"/>
        </w:tabs>
        <w:autoSpaceDE w:val="0"/>
        <w:autoSpaceDN w:val="0"/>
        <w:spacing w:after="0" w:line="240" w:lineRule="auto"/>
        <w:ind w:left="5670" w:right="283"/>
        <w:outlineLvl w:val="2"/>
        <w:rPr>
          <w:rFonts w:ascii="Times New Roman" w:eastAsia="Times New Roman" w:hAnsi="Times New Roman" w:cs="Times New Roman"/>
          <w:bCs/>
          <w:sz w:val="24"/>
          <w:szCs w:val="24"/>
          <w:lang w:val="uk-UA" w:eastAsia="ru-RU"/>
        </w:rPr>
      </w:pPr>
      <w:r w:rsidRPr="00BD7305">
        <w:rPr>
          <w:rFonts w:ascii="Times New Roman" w:eastAsia="Times New Roman" w:hAnsi="Times New Roman" w:cs="Times New Roman"/>
          <w:bCs/>
          <w:sz w:val="24"/>
          <w:szCs w:val="24"/>
          <w:lang w:eastAsia="ru-RU"/>
        </w:rPr>
        <w:t>Министерства здравоохранения</w:t>
      </w:r>
      <w:r w:rsidRPr="00BD7305">
        <w:rPr>
          <w:rFonts w:ascii="Times New Roman" w:eastAsia="Times New Roman" w:hAnsi="Times New Roman" w:cs="Times New Roman"/>
          <w:bCs/>
          <w:sz w:val="24"/>
          <w:szCs w:val="24"/>
          <w:lang w:val="uk-UA" w:eastAsia="ru-RU"/>
        </w:rPr>
        <w:t xml:space="preserve"> </w:t>
      </w:r>
    </w:p>
    <w:p w14:paraId="06C0FF00" w14:textId="77777777" w:rsidR="00927F9A" w:rsidRPr="00BD7305" w:rsidRDefault="00927F9A" w:rsidP="00F602A1">
      <w:pPr>
        <w:keepNext/>
        <w:tabs>
          <w:tab w:val="left" w:pos="993"/>
        </w:tabs>
        <w:autoSpaceDE w:val="0"/>
        <w:autoSpaceDN w:val="0"/>
        <w:spacing w:after="0" w:line="240" w:lineRule="auto"/>
        <w:ind w:left="5670" w:right="283"/>
        <w:outlineLvl w:val="3"/>
        <w:rPr>
          <w:rFonts w:ascii="Times New Roman" w:eastAsia="Times New Roman" w:hAnsi="Times New Roman" w:cs="Times New Roman"/>
          <w:bCs/>
          <w:sz w:val="24"/>
          <w:szCs w:val="24"/>
          <w:lang w:eastAsia="ru-RU"/>
        </w:rPr>
      </w:pPr>
      <w:r w:rsidRPr="00BD7305">
        <w:rPr>
          <w:rFonts w:ascii="Times New Roman" w:eastAsia="Times New Roman" w:hAnsi="Times New Roman" w:cs="Times New Roman"/>
          <w:bCs/>
          <w:sz w:val="24"/>
          <w:szCs w:val="24"/>
          <w:lang w:eastAsia="ru-RU"/>
        </w:rPr>
        <w:t>Республики Казахстан»</w:t>
      </w:r>
    </w:p>
    <w:p w14:paraId="350365FD" w14:textId="1EE8DFCD" w:rsidR="00927F9A" w:rsidRPr="00BD7305" w:rsidRDefault="00927F9A" w:rsidP="00F602A1">
      <w:pPr>
        <w:tabs>
          <w:tab w:val="left" w:pos="993"/>
        </w:tabs>
        <w:autoSpaceDE w:val="0"/>
        <w:autoSpaceDN w:val="0"/>
        <w:spacing w:after="0" w:line="240" w:lineRule="auto"/>
        <w:ind w:left="5670" w:right="283"/>
        <w:rPr>
          <w:rFonts w:ascii="Times New Roman" w:eastAsia="Times New Roman" w:hAnsi="Times New Roman" w:cs="Times New Roman"/>
          <w:sz w:val="24"/>
          <w:szCs w:val="24"/>
          <w:lang w:eastAsia="ru-RU"/>
        </w:rPr>
      </w:pPr>
      <w:r w:rsidRPr="00BD7305">
        <w:rPr>
          <w:rFonts w:ascii="Times New Roman" w:eastAsia="Times New Roman" w:hAnsi="Times New Roman" w:cs="Times New Roman"/>
          <w:sz w:val="24"/>
          <w:szCs w:val="24"/>
          <w:lang w:eastAsia="ru-RU"/>
        </w:rPr>
        <w:t>от «</w:t>
      </w:r>
      <w:proofErr w:type="gramStart"/>
      <w:r w:rsidR="00FF29E5" w:rsidRPr="00FF29E5">
        <w:rPr>
          <w:rFonts w:ascii="Times New Roman" w:eastAsia="Times New Roman" w:hAnsi="Times New Roman" w:cs="Times New Roman"/>
          <w:sz w:val="24"/>
          <w:szCs w:val="24"/>
          <w:lang w:eastAsia="ru-RU"/>
        </w:rPr>
        <w:t>05</w:t>
      </w:r>
      <w:r w:rsidRPr="00BD7305">
        <w:rPr>
          <w:rFonts w:ascii="Times New Roman" w:eastAsia="Times New Roman" w:hAnsi="Times New Roman" w:cs="Times New Roman"/>
          <w:sz w:val="24"/>
          <w:szCs w:val="24"/>
          <w:lang w:eastAsia="ru-RU"/>
        </w:rPr>
        <w:t>»</w:t>
      </w:r>
      <w:r w:rsidR="00FF29E5" w:rsidRPr="00FF29E5">
        <w:rPr>
          <w:rFonts w:ascii="Times New Roman" w:eastAsia="Times New Roman" w:hAnsi="Times New Roman" w:cs="Times New Roman"/>
          <w:sz w:val="24"/>
          <w:szCs w:val="24"/>
          <w:lang w:eastAsia="ru-RU"/>
        </w:rPr>
        <w:t xml:space="preserve">  03</w:t>
      </w:r>
      <w:proofErr w:type="gramEnd"/>
      <w:r w:rsidR="00FF29E5" w:rsidRPr="00FF29E5">
        <w:rPr>
          <w:rFonts w:ascii="Times New Roman" w:eastAsia="Times New Roman" w:hAnsi="Times New Roman" w:cs="Times New Roman"/>
          <w:sz w:val="24"/>
          <w:szCs w:val="24"/>
          <w:lang w:eastAsia="ru-RU"/>
        </w:rPr>
        <w:t xml:space="preserve">  </w:t>
      </w:r>
      <w:r w:rsidRPr="00BD7305">
        <w:rPr>
          <w:rFonts w:ascii="Times New Roman" w:eastAsia="Times New Roman" w:hAnsi="Times New Roman" w:cs="Times New Roman"/>
          <w:sz w:val="24"/>
          <w:szCs w:val="24"/>
          <w:lang w:eastAsia="ru-RU"/>
        </w:rPr>
        <w:t>20</w:t>
      </w:r>
      <w:r w:rsidR="00FF29E5" w:rsidRPr="00FF29E5">
        <w:rPr>
          <w:rFonts w:ascii="Times New Roman" w:eastAsia="Times New Roman" w:hAnsi="Times New Roman" w:cs="Times New Roman"/>
          <w:sz w:val="24"/>
          <w:szCs w:val="24"/>
          <w:lang w:eastAsia="ru-RU"/>
        </w:rPr>
        <w:t xml:space="preserve">24 </w:t>
      </w:r>
      <w:r w:rsidRPr="00BD7305">
        <w:rPr>
          <w:rFonts w:ascii="Times New Roman" w:eastAsia="Times New Roman" w:hAnsi="Times New Roman" w:cs="Times New Roman"/>
          <w:sz w:val="24"/>
          <w:szCs w:val="24"/>
          <w:lang w:eastAsia="ru-RU"/>
        </w:rPr>
        <w:t>г.</w:t>
      </w:r>
    </w:p>
    <w:p w14:paraId="5E6C5D38" w14:textId="36985B20" w:rsidR="00927F9A" w:rsidRPr="00FF29E5" w:rsidRDefault="00927F9A" w:rsidP="00F602A1">
      <w:pPr>
        <w:tabs>
          <w:tab w:val="left" w:pos="993"/>
        </w:tabs>
        <w:spacing w:line="240" w:lineRule="auto"/>
        <w:ind w:left="5670" w:right="283"/>
        <w:rPr>
          <w:rFonts w:ascii="Times New Roman" w:eastAsia="Times New Roman" w:hAnsi="Times New Roman" w:cs="Times New Roman"/>
          <w:b/>
          <w:bCs/>
          <w:sz w:val="24"/>
          <w:szCs w:val="24"/>
          <w:lang w:eastAsia="ru-RU"/>
        </w:rPr>
      </w:pPr>
      <w:r w:rsidRPr="00BD7305">
        <w:rPr>
          <w:rFonts w:ascii="Times New Roman" w:eastAsia="Times New Roman" w:hAnsi="Times New Roman" w:cs="Times New Roman"/>
          <w:snapToGrid w:val="0"/>
          <w:sz w:val="24"/>
          <w:szCs w:val="24"/>
          <w:lang w:eastAsia="ru-RU"/>
        </w:rPr>
        <w:t>№</w:t>
      </w:r>
      <w:r w:rsidR="00FF29E5">
        <w:rPr>
          <w:rFonts w:ascii="Times New Roman" w:eastAsia="Times New Roman" w:hAnsi="Times New Roman" w:cs="Times New Roman"/>
          <w:snapToGrid w:val="0"/>
          <w:sz w:val="24"/>
          <w:szCs w:val="24"/>
          <w:lang w:val="en-US" w:eastAsia="ru-RU"/>
        </w:rPr>
        <w:t>N072269</w:t>
      </w:r>
    </w:p>
    <w:p w14:paraId="7E412407" w14:textId="1E07C910" w:rsidR="00BD7305" w:rsidRDefault="00BD7305" w:rsidP="00F602A1">
      <w:pPr>
        <w:tabs>
          <w:tab w:val="left" w:pos="993"/>
        </w:tabs>
        <w:spacing w:after="0" w:line="240" w:lineRule="auto"/>
        <w:ind w:right="283"/>
        <w:jc w:val="center"/>
        <w:rPr>
          <w:rFonts w:ascii="Times New Roman" w:eastAsia="Times New Roman" w:hAnsi="Times New Roman" w:cs="Times New Roman"/>
          <w:b/>
          <w:bCs/>
          <w:sz w:val="24"/>
          <w:szCs w:val="24"/>
          <w:lang w:eastAsia="ru-RU"/>
        </w:rPr>
      </w:pPr>
      <w:r w:rsidRPr="00BD7305">
        <w:rPr>
          <w:rFonts w:ascii="Times New Roman" w:eastAsia="Times New Roman" w:hAnsi="Times New Roman" w:cs="Times New Roman"/>
          <w:b/>
          <w:bCs/>
          <w:sz w:val="24"/>
          <w:szCs w:val="24"/>
          <w:lang w:eastAsia="ru-RU"/>
        </w:rPr>
        <w:t>ОБЩАЯ ХАРАКТЕРИСТИКА ЛЕКАРСТВЕННОГО ПРЕПАРАТА</w:t>
      </w:r>
    </w:p>
    <w:p w14:paraId="2BB93B36" w14:textId="77777777" w:rsidR="008D1644" w:rsidRPr="00BD7305" w:rsidRDefault="008D1644" w:rsidP="00F602A1">
      <w:pPr>
        <w:tabs>
          <w:tab w:val="left" w:pos="993"/>
        </w:tabs>
        <w:spacing w:after="0" w:line="240" w:lineRule="auto"/>
        <w:ind w:right="283"/>
        <w:jc w:val="center"/>
        <w:rPr>
          <w:rFonts w:ascii="Times New Roman" w:eastAsia="Times New Roman" w:hAnsi="Times New Roman" w:cs="Times New Roman"/>
          <w:b/>
          <w:bCs/>
          <w:sz w:val="24"/>
          <w:szCs w:val="24"/>
          <w:lang w:eastAsia="ru-RU"/>
        </w:rPr>
      </w:pPr>
    </w:p>
    <w:p w14:paraId="241015F5" w14:textId="77777777" w:rsidR="00BD7305" w:rsidRPr="00BD7305" w:rsidRDefault="00BD7305" w:rsidP="00F602A1">
      <w:pPr>
        <w:autoSpaceDE w:val="0"/>
        <w:autoSpaceDN w:val="0"/>
        <w:spacing w:before="120" w:after="0" w:line="240" w:lineRule="auto"/>
        <w:ind w:right="283"/>
        <w:jc w:val="both"/>
        <w:rPr>
          <w:rFonts w:ascii="Times New Roman" w:eastAsia="Times New Roman" w:hAnsi="Times New Roman" w:cs="Times New Roman"/>
          <w:b/>
          <w:sz w:val="24"/>
          <w:szCs w:val="24"/>
          <w:lang w:eastAsia="ru-RU"/>
        </w:rPr>
      </w:pPr>
      <w:r w:rsidRPr="00BD7305">
        <w:rPr>
          <w:rFonts w:ascii="Times New Roman" w:eastAsia="Times New Roman" w:hAnsi="Times New Roman" w:cs="Times New Roman"/>
          <w:b/>
          <w:sz w:val="24"/>
          <w:szCs w:val="24"/>
          <w:lang w:eastAsia="ru-RU"/>
        </w:rPr>
        <w:t xml:space="preserve">1. </w:t>
      </w:r>
      <w:r w:rsidRPr="00BD7305">
        <w:rPr>
          <w:rFonts w:ascii="Times New Roman" w:eastAsia="Times New Roman" w:hAnsi="Times New Roman" w:cs="Times New Roman" w:hint="eastAsia"/>
          <w:b/>
          <w:sz w:val="24"/>
          <w:szCs w:val="24"/>
          <w:lang w:eastAsia="ru-RU"/>
        </w:rPr>
        <w:t>НАИМЕНОВАНИЕ</w:t>
      </w:r>
      <w:r w:rsidRPr="00BD7305">
        <w:rPr>
          <w:rFonts w:ascii="Times New Roman" w:eastAsia="Times New Roman" w:hAnsi="Times New Roman" w:cs="Times New Roman"/>
          <w:b/>
          <w:sz w:val="24"/>
          <w:szCs w:val="24"/>
          <w:lang w:eastAsia="ru-RU"/>
        </w:rPr>
        <w:t xml:space="preserve"> </w:t>
      </w:r>
      <w:r w:rsidRPr="00BD7305">
        <w:rPr>
          <w:rFonts w:ascii="Times New Roman" w:eastAsia="Times New Roman" w:hAnsi="Times New Roman" w:cs="Times New Roman" w:hint="eastAsia"/>
          <w:b/>
          <w:sz w:val="24"/>
          <w:szCs w:val="24"/>
          <w:lang w:eastAsia="ru-RU"/>
        </w:rPr>
        <w:t>ЛЕКАРСТВЕННОГО</w:t>
      </w:r>
      <w:r w:rsidRPr="00BD7305">
        <w:rPr>
          <w:rFonts w:ascii="Times New Roman" w:eastAsia="Times New Roman" w:hAnsi="Times New Roman" w:cs="Times New Roman"/>
          <w:b/>
          <w:sz w:val="24"/>
          <w:szCs w:val="24"/>
          <w:lang w:eastAsia="ru-RU"/>
        </w:rPr>
        <w:t xml:space="preserve"> </w:t>
      </w:r>
      <w:r w:rsidRPr="00BD7305">
        <w:rPr>
          <w:rFonts w:ascii="Times New Roman" w:eastAsia="Times New Roman" w:hAnsi="Times New Roman" w:cs="Times New Roman" w:hint="eastAsia"/>
          <w:b/>
          <w:sz w:val="24"/>
          <w:szCs w:val="24"/>
          <w:lang w:eastAsia="ru-RU"/>
        </w:rPr>
        <w:t>ПРЕПАРАТА</w:t>
      </w:r>
    </w:p>
    <w:p w14:paraId="182723C2" w14:textId="20982490" w:rsidR="009C166C" w:rsidRDefault="000B7B1F" w:rsidP="00F602A1">
      <w:pPr>
        <w:spacing w:after="0" w:line="240" w:lineRule="auto"/>
        <w:ind w:right="283"/>
        <w:jc w:val="both"/>
        <w:rPr>
          <w:rFonts w:ascii="Times New Roman" w:hAnsi="Times New Roman" w:cs="Times New Roman"/>
          <w:sz w:val="24"/>
          <w:szCs w:val="24"/>
        </w:rPr>
      </w:pPr>
      <w:proofErr w:type="spellStart"/>
      <w:r>
        <w:rPr>
          <w:rFonts w:ascii="Times New Roman" w:hAnsi="Times New Roman" w:cs="Times New Roman"/>
          <w:sz w:val="24"/>
          <w:szCs w:val="24"/>
        </w:rPr>
        <w:t>Летродэй</w:t>
      </w:r>
      <w:proofErr w:type="spellEnd"/>
      <w:r w:rsidR="004824A6">
        <w:rPr>
          <w:rFonts w:ascii="Times New Roman" w:hAnsi="Times New Roman" w:cs="Times New Roman"/>
          <w:sz w:val="24"/>
          <w:szCs w:val="24"/>
        </w:rPr>
        <w:t>,</w:t>
      </w:r>
      <w:r>
        <w:rPr>
          <w:rFonts w:ascii="Times New Roman" w:hAnsi="Times New Roman" w:cs="Times New Roman"/>
          <w:sz w:val="24"/>
          <w:szCs w:val="24"/>
        </w:rPr>
        <w:t xml:space="preserve"> 2.</w:t>
      </w:r>
      <w:r w:rsidR="006D2F12">
        <w:rPr>
          <w:rFonts w:ascii="Times New Roman" w:hAnsi="Times New Roman" w:cs="Times New Roman"/>
          <w:sz w:val="24"/>
          <w:szCs w:val="24"/>
        </w:rPr>
        <w:t>5</w:t>
      </w:r>
      <w:r w:rsidR="00927F9A" w:rsidRPr="00BD7305">
        <w:rPr>
          <w:rFonts w:ascii="Times New Roman" w:hAnsi="Times New Roman" w:cs="Times New Roman"/>
          <w:sz w:val="24"/>
          <w:szCs w:val="24"/>
        </w:rPr>
        <w:t xml:space="preserve"> мг</w:t>
      </w:r>
      <w:r w:rsidR="004824A6">
        <w:rPr>
          <w:rFonts w:ascii="Times New Roman" w:hAnsi="Times New Roman" w:cs="Times New Roman"/>
          <w:sz w:val="24"/>
          <w:szCs w:val="24"/>
        </w:rPr>
        <w:t>,</w:t>
      </w:r>
      <w:r w:rsidR="00927F9A" w:rsidRPr="00BD7305">
        <w:rPr>
          <w:rFonts w:ascii="Times New Roman" w:hAnsi="Times New Roman" w:cs="Times New Roman"/>
          <w:sz w:val="24"/>
          <w:szCs w:val="24"/>
        </w:rPr>
        <w:t xml:space="preserve"> таблетки</w:t>
      </w:r>
      <w:r w:rsidR="001B34AA">
        <w:rPr>
          <w:rFonts w:ascii="Times New Roman" w:hAnsi="Times New Roman" w:cs="Times New Roman"/>
          <w:sz w:val="24"/>
          <w:szCs w:val="24"/>
        </w:rPr>
        <w:t>, покрытые пленочной оболочкой</w:t>
      </w:r>
    </w:p>
    <w:p w14:paraId="26EBA0C6" w14:textId="77777777" w:rsidR="008D1644" w:rsidRPr="00BD7305" w:rsidRDefault="008D1644" w:rsidP="00F602A1">
      <w:pPr>
        <w:spacing w:after="0" w:line="240" w:lineRule="auto"/>
        <w:ind w:right="283"/>
        <w:jc w:val="both"/>
        <w:rPr>
          <w:rFonts w:ascii="Times New Roman" w:hAnsi="Times New Roman" w:cs="Times New Roman"/>
          <w:sz w:val="24"/>
          <w:szCs w:val="24"/>
        </w:rPr>
      </w:pPr>
    </w:p>
    <w:p w14:paraId="30939575" w14:textId="77777777" w:rsidR="00BD7305" w:rsidRPr="00BD7305" w:rsidRDefault="00BD7305" w:rsidP="00F602A1">
      <w:pPr>
        <w:spacing w:after="0" w:line="240" w:lineRule="auto"/>
        <w:ind w:right="283"/>
        <w:jc w:val="both"/>
        <w:rPr>
          <w:rFonts w:ascii="Times New Roman" w:hAnsi="Times New Roman" w:cs="Times New Roman"/>
          <w:sz w:val="24"/>
          <w:szCs w:val="24"/>
        </w:rPr>
      </w:pPr>
      <w:bookmarkStart w:id="0" w:name="2175220285"/>
      <w:r w:rsidRPr="00BD7305">
        <w:rPr>
          <w:rFonts w:ascii="Times New Roman" w:hAnsi="Times New Roman" w:cs="Times New Roman"/>
          <w:b/>
          <w:sz w:val="24"/>
          <w:szCs w:val="24"/>
        </w:rPr>
        <w:t>2. КАЧЕСТВЕННЫЙ И КОЛИЧЕСТВЕННЫЙ СОСТАВ</w:t>
      </w:r>
    </w:p>
    <w:bookmarkEnd w:id="0"/>
    <w:p w14:paraId="0EF581EC" w14:textId="77777777" w:rsidR="00662FF0" w:rsidRPr="004A6809" w:rsidRDefault="00662FF0" w:rsidP="00F602A1">
      <w:pPr>
        <w:spacing w:after="0" w:line="240" w:lineRule="auto"/>
        <w:ind w:right="283"/>
        <w:jc w:val="both"/>
        <w:rPr>
          <w:rFonts w:ascii="Times New Roman" w:hAnsi="Times New Roman" w:cs="Times New Roman"/>
          <w:b/>
          <w:bCs/>
          <w:iCs/>
          <w:sz w:val="24"/>
          <w:szCs w:val="24"/>
        </w:rPr>
      </w:pPr>
      <w:r w:rsidRPr="004A6809">
        <w:rPr>
          <w:rFonts w:ascii="Times New Roman" w:hAnsi="Times New Roman" w:cs="Times New Roman"/>
          <w:b/>
          <w:bCs/>
          <w:iCs/>
          <w:sz w:val="24"/>
          <w:szCs w:val="24"/>
        </w:rPr>
        <w:t>2.1 Общее описание</w:t>
      </w:r>
    </w:p>
    <w:p w14:paraId="7B85FD44" w14:textId="5F80317E" w:rsidR="00662FF0" w:rsidRPr="00662FF0" w:rsidRDefault="004A6809" w:rsidP="00F602A1">
      <w:pPr>
        <w:spacing w:after="0" w:line="240" w:lineRule="auto"/>
        <w:ind w:right="283"/>
        <w:jc w:val="both"/>
        <w:rPr>
          <w:rFonts w:ascii="Times New Roman" w:hAnsi="Times New Roman" w:cs="Times New Roman"/>
          <w:iCs/>
          <w:sz w:val="24"/>
          <w:szCs w:val="24"/>
        </w:rPr>
      </w:pPr>
      <w:proofErr w:type="spellStart"/>
      <w:r>
        <w:rPr>
          <w:rFonts w:ascii="Times New Roman" w:hAnsi="Times New Roman" w:cs="Times New Roman"/>
          <w:iCs/>
          <w:sz w:val="24"/>
          <w:szCs w:val="24"/>
        </w:rPr>
        <w:t>Летрозол</w:t>
      </w:r>
      <w:proofErr w:type="spellEnd"/>
    </w:p>
    <w:p w14:paraId="5754EB48" w14:textId="77777777" w:rsidR="00662FF0" w:rsidRPr="004A6809" w:rsidRDefault="00662FF0" w:rsidP="00F602A1">
      <w:pPr>
        <w:spacing w:after="0" w:line="240" w:lineRule="auto"/>
        <w:ind w:right="283"/>
        <w:jc w:val="both"/>
        <w:rPr>
          <w:rFonts w:ascii="Times New Roman" w:hAnsi="Times New Roman" w:cs="Times New Roman"/>
          <w:b/>
          <w:bCs/>
          <w:iCs/>
          <w:sz w:val="24"/>
          <w:szCs w:val="24"/>
        </w:rPr>
      </w:pPr>
      <w:r w:rsidRPr="004A6809">
        <w:rPr>
          <w:rFonts w:ascii="Times New Roman" w:hAnsi="Times New Roman" w:cs="Times New Roman"/>
          <w:b/>
          <w:bCs/>
          <w:iCs/>
          <w:sz w:val="24"/>
          <w:szCs w:val="24"/>
        </w:rPr>
        <w:t>2.2 Качественный и количественный состав</w:t>
      </w:r>
    </w:p>
    <w:p w14:paraId="2643BEAC" w14:textId="2EB09ED3" w:rsidR="00F0115E" w:rsidRPr="00BD7305" w:rsidRDefault="00F0115E" w:rsidP="004A6809">
      <w:pPr>
        <w:spacing w:after="0" w:line="240" w:lineRule="auto"/>
        <w:ind w:right="283"/>
        <w:jc w:val="both"/>
        <w:rPr>
          <w:rFonts w:ascii="Times New Roman" w:hAnsi="Times New Roman" w:cs="Times New Roman"/>
          <w:iCs/>
          <w:sz w:val="24"/>
          <w:szCs w:val="24"/>
        </w:rPr>
      </w:pPr>
      <w:r w:rsidRPr="00BD7305">
        <w:rPr>
          <w:rFonts w:ascii="Times New Roman" w:hAnsi="Times New Roman" w:cs="Times New Roman"/>
          <w:iCs/>
          <w:sz w:val="24"/>
          <w:szCs w:val="24"/>
        </w:rPr>
        <w:t>Каждая таблетка</w:t>
      </w:r>
      <w:r w:rsidR="00662FF0">
        <w:rPr>
          <w:rFonts w:ascii="Times New Roman" w:hAnsi="Times New Roman" w:cs="Times New Roman"/>
          <w:iCs/>
          <w:sz w:val="24"/>
          <w:szCs w:val="24"/>
        </w:rPr>
        <w:t>, покрытая пленочной оболочкой,</w:t>
      </w:r>
      <w:r w:rsidRPr="00BD7305">
        <w:rPr>
          <w:rFonts w:ascii="Times New Roman" w:hAnsi="Times New Roman" w:cs="Times New Roman"/>
          <w:iCs/>
          <w:sz w:val="24"/>
          <w:szCs w:val="24"/>
        </w:rPr>
        <w:t xml:space="preserve"> содержит </w:t>
      </w:r>
      <w:proofErr w:type="spellStart"/>
      <w:r w:rsidR="000B7B1F">
        <w:rPr>
          <w:rFonts w:ascii="Times New Roman" w:hAnsi="Times New Roman" w:cs="Times New Roman"/>
          <w:iCs/>
          <w:sz w:val="24"/>
          <w:szCs w:val="24"/>
        </w:rPr>
        <w:t>летрозола</w:t>
      </w:r>
      <w:proofErr w:type="spellEnd"/>
      <w:r w:rsidR="000B7B1F">
        <w:rPr>
          <w:rFonts w:ascii="Times New Roman" w:hAnsi="Times New Roman" w:cs="Times New Roman"/>
          <w:iCs/>
          <w:sz w:val="24"/>
          <w:szCs w:val="24"/>
        </w:rPr>
        <w:t xml:space="preserve"> 2.</w:t>
      </w:r>
      <w:r w:rsidR="001B34AA">
        <w:rPr>
          <w:rFonts w:ascii="Times New Roman" w:hAnsi="Times New Roman" w:cs="Times New Roman"/>
          <w:iCs/>
          <w:sz w:val="24"/>
          <w:szCs w:val="24"/>
        </w:rPr>
        <w:t>50</w:t>
      </w:r>
      <w:r w:rsidRPr="00BD7305">
        <w:rPr>
          <w:rFonts w:ascii="Times New Roman" w:hAnsi="Times New Roman" w:cs="Times New Roman"/>
          <w:iCs/>
          <w:sz w:val="24"/>
          <w:szCs w:val="24"/>
        </w:rPr>
        <w:t xml:space="preserve"> мг</w:t>
      </w:r>
    </w:p>
    <w:p w14:paraId="0FF69791" w14:textId="52112421" w:rsidR="00262F6E" w:rsidRPr="00BD7305" w:rsidRDefault="009C166C" w:rsidP="004A6809">
      <w:pPr>
        <w:spacing w:after="0" w:line="240" w:lineRule="auto"/>
        <w:ind w:right="283"/>
        <w:jc w:val="both"/>
        <w:rPr>
          <w:rFonts w:ascii="Times New Roman" w:hAnsi="Times New Roman" w:cs="Times New Roman"/>
          <w:sz w:val="24"/>
          <w:szCs w:val="24"/>
        </w:rPr>
      </w:pPr>
      <w:r w:rsidRPr="00BD7305">
        <w:rPr>
          <w:rFonts w:ascii="Times New Roman" w:hAnsi="Times New Roman" w:cs="Times New Roman"/>
          <w:sz w:val="24"/>
          <w:szCs w:val="24"/>
        </w:rPr>
        <w:t>Вспомогательные вещества, наличие которых надо учитывать в составе лекарственного препарата:</w:t>
      </w:r>
      <w:r w:rsidR="00262F6E" w:rsidRPr="00BD7305">
        <w:rPr>
          <w:rFonts w:ascii="Times New Roman" w:hAnsi="Times New Roman" w:cs="Times New Roman"/>
          <w:sz w:val="24"/>
          <w:szCs w:val="24"/>
        </w:rPr>
        <w:t xml:space="preserve"> лактоз</w:t>
      </w:r>
      <w:r w:rsidR="006D2F12">
        <w:rPr>
          <w:rFonts w:ascii="Times New Roman" w:hAnsi="Times New Roman" w:cs="Times New Roman"/>
          <w:sz w:val="24"/>
          <w:szCs w:val="24"/>
        </w:rPr>
        <w:t>ы моногидрат</w:t>
      </w:r>
      <w:r w:rsidR="004824A6">
        <w:rPr>
          <w:rFonts w:ascii="Times New Roman" w:hAnsi="Times New Roman" w:cs="Times New Roman"/>
          <w:sz w:val="24"/>
          <w:szCs w:val="24"/>
        </w:rPr>
        <w:t xml:space="preserve"> 48.70</w:t>
      </w:r>
      <w:r w:rsidR="00262F6E" w:rsidRPr="00BD7305">
        <w:rPr>
          <w:rFonts w:ascii="Times New Roman" w:hAnsi="Times New Roman" w:cs="Times New Roman"/>
          <w:sz w:val="24"/>
          <w:szCs w:val="24"/>
        </w:rPr>
        <w:t>, натрия кр</w:t>
      </w:r>
      <w:r w:rsidR="006D2F12">
        <w:rPr>
          <w:rFonts w:ascii="Times New Roman" w:hAnsi="Times New Roman" w:cs="Times New Roman"/>
          <w:sz w:val="24"/>
          <w:szCs w:val="24"/>
        </w:rPr>
        <w:t xml:space="preserve">ахмала </w:t>
      </w:r>
      <w:proofErr w:type="spellStart"/>
      <w:r w:rsidR="006D2F12">
        <w:rPr>
          <w:rFonts w:ascii="Times New Roman" w:hAnsi="Times New Roman" w:cs="Times New Roman"/>
          <w:sz w:val="24"/>
          <w:szCs w:val="24"/>
        </w:rPr>
        <w:t>гликол</w:t>
      </w:r>
      <w:r w:rsidR="00662FF0">
        <w:rPr>
          <w:rFonts w:ascii="Times New Roman" w:hAnsi="Times New Roman" w:cs="Times New Roman"/>
          <w:sz w:val="24"/>
          <w:szCs w:val="24"/>
        </w:rPr>
        <w:t>я</w:t>
      </w:r>
      <w:r w:rsidR="006D2F12">
        <w:rPr>
          <w:rFonts w:ascii="Times New Roman" w:hAnsi="Times New Roman" w:cs="Times New Roman"/>
          <w:sz w:val="24"/>
          <w:szCs w:val="24"/>
        </w:rPr>
        <w:t>т</w:t>
      </w:r>
      <w:proofErr w:type="spellEnd"/>
      <w:r w:rsidR="00662FF0">
        <w:rPr>
          <w:rFonts w:ascii="Times New Roman" w:hAnsi="Times New Roman" w:cs="Times New Roman"/>
          <w:sz w:val="24"/>
          <w:szCs w:val="24"/>
        </w:rPr>
        <w:t xml:space="preserve"> (тип А)</w:t>
      </w:r>
      <w:r w:rsidR="004824A6">
        <w:rPr>
          <w:rFonts w:ascii="Times New Roman" w:hAnsi="Times New Roman" w:cs="Times New Roman"/>
          <w:sz w:val="24"/>
          <w:szCs w:val="24"/>
        </w:rPr>
        <w:t xml:space="preserve"> 5.00 мг.</w:t>
      </w:r>
    </w:p>
    <w:p w14:paraId="045291AD" w14:textId="77777777" w:rsidR="004824A6" w:rsidRPr="004824A6" w:rsidRDefault="004824A6" w:rsidP="004A6809">
      <w:pPr>
        <w:autoSpaceDE w:val="0"/>
        <w:autoSpaceDN w:val="0"/>
        <w:adjustRightInd w:val="0"/>
        <w:spacing w:after="0" w:line="240" w:lineRule="auto"/>
        <w:jc w:val="both"/>
        <w:rPr>
          <w:rFonts w:ascii="Times New Roman" w:eastAsia="Times New Roman" w:hAnsi="Times New Roman"/>
          <w:bCs/>
          <w:snapToGrid w:val="0"/>
          <w:sz w:val="24"/>
          <w:szCs w:val="24"/>
          <w:lang w:eastAsia="ru-RU"/>
        </w:rPr>
      </w:pPr>
      <w:r w:rsidRPr="004824A6">
        <w:rPr>
          <w:rFonts w:ascii="Times New Roman" w:hAnsi="Times New Roman"/>
          <w:iCs/>
          <w:sz w:val="24"/>
          <w:szCs w:val="24"/>
          <w:lang w:eastAsia="ru-RU"/>
        </w:rPr>
        <w:t>Полный список вспомогательных веществ см. в пункте 6.1</w:t>
      </w:r>
      <w:r w:rsidRPr="004824A6">
        <w:rPr>
          <w:rFonts w:ascii="Times New Roman" w:hAnsi="Times New Roman"/>
          <w:sz w:val="24"/>
          <w:szCs w:val="24"/>
          <w:lang w:eastAsia="ru-RU"/>
        </w:rPr>
        <w:t>.</w:t>
      </w:r>
    </w:p>
    <w:p w14:paraId="5205EE95" w14:textId="77777777" w:rsidR="00A60623" w:rsidRPr="00A60623" w:rsidRDefault="00A60623" w:rsidP="00F602A1">
      <w:pPr>
        <w:spacing w:before="240" w:after="0" w:line="240" w:lineRule="auto"/>
        <w:ind w:right="283"/>
        <w:jc w:val="both"/>
        <w:rPr>
          <w:rFonts w:ascii="Times New Roman" w:hAnsi="Times New Roman" w:cs="Times New Roman"/>
          <w:b/>
          <w:sz w:val="24"/>
          <w:szCs w:val="24"/>
        </w:rPr>
      </w:pPr>
      <w:r w:rsidRPr="00A60623">
        <w:rPr>
          <w:rFonts w:ascii="Times New Roman" w:hAnsi="Times New Roman" w:cs="Times New Roman"/>
          <w:b/>
          <w:sz w:val="24"/>
          <w:szCs w:val="24"/>
        </w:rPr>
        <w:t>3. ЛЕКАРСТВЕННАЯ ФОРМА</w:t>
      </w:r>
    </w:p>
    <w:p w14:paraId="489E9B47" w14:textId="77777777" w:rsidR="0082532F" w:rsidRPr="00BD7305" w:rsidRDefault="00E321BC" w:rsidP="00F602A1">
      <w:pPr>
        <w:spacing w:after="0" w:line="240" w:lineRule="auto"/>
        <w:ind w:right="283"/>
        <w:jc w:val="both"/>
        <w:rPr>
          <w:rFonts w:ascii="Times New Roman" w:hAnsi="Times New Roman" w:cs="Times New Roman"/>
          <w:sz w:val="24"/>
          <w:szCs w:val="24"/>
        </w:rPr>
      </w:pPr>
      <w:r w:rsidRPr="00BD7305">
        <w:rPr>
          <w:rFonts w:ascii="Times New Roman" w:hAnsi="Times New Roman" w:cs="Times New Roman"/>
          <w:sz w:val="24"/>
          <w:szCs w:val="24"/>
        </w:rPr>
        <w:t>Таблетки</w:t>
      </w:r>
      <w:r w:rsidR="002825E0">
        <w:rPr>
          <w:rFonts w:ascii="Times New Roman" w:hAnsi="Times New Roman" w:cs="Times New Roman"/>
          <w:sz w:val="24"/>
          <w:szCs w:val="24"/>
        </w:rPr>
        <w:t>, покрытые пленочной оболочкой</w:t>
      </w:r>
    </w:p>
    <w:p w14:paraId="3303DF93" w14:textId="3E98C1AA" w:rsidR="00EB4663" w:rsidRDefault="00EB4663" w:rsidP="00F602A1">
      <w:pPr>
        <w:spacing w:after="0" w:line="240" w:lineRule="auto"/>
        <w:ind w:right="283"/>
        <w:jc w:val="both"/>
        <w:rPr>
          <w:rFonts w:ascii="Times New Roman" w:hAnsi="Times New Roman" w:cs="Times New Roman"/>
          <w:sz w:val="24"/>
          <w:szCs w:val="24"/>
        </w:rPr>
      </w:pPr>
      <w:r w:rsidRPr="00EB4663">
        <w:rPr>
          <w:rFonts w:ascii="Times New Roman" w:hAnsi="Times New Roman" w:cs="Times New Roman"/>
          <w:sz w:val="24"/>
          <w:szCs w:val="24"/>
        </w:rPr>
        <w:t xml:space="preserve">Таблетки круглой формы, слегка двояковыпуклые, со скошенной кромкой, покрытые плёночной оболочкой </w:t>
      </w:r>
      <w:proofErr w:type="spellStart"/>
      <w:r w:rsidRPr="00EB4663">
        <w:rPr>
          <w:rFonts w:ascii="Times New Roman" w:hAnsi="Times New Roman" w:cs="Times New Roman"/>
          <w:sz w:val="24"/>
          <w:szCs w:val="24"/>
        </w:rPr>
        <w:t>тёмно</w:t>
      </w:r>
      <w:proofErr w:type="spellEnd"/>
      <w:r w:rsidRPr="00EB4663">
        <w:rPr>
          <w:rFonts w:ascii="Times New Roman" w:hAnsi="Times New Roman" w:cs="Times New Roman"/>
          <w:sz w:val="24"/>
          <w:szCs w:val="24"/>
        </w:rPr>
        <w:t xml:space="preserve"> - желтого цвета, с надписью “</w:t>
      </w:r>
      <w:r w:rsidRPr="00EB4663">
        <w:rPr>
          <w:rFonts w:ascii="Times New Roman" w:hAnsi="Times New Roman" w:cs="Times New Roman"/>
          <w:sz w:val="24"/>
          <w:szCs w:val="24"/>
          <w:lang w:val="en-US"/>
        </w:rPr>
        <w:t>L</w:t>
      </w:r>
      <w:r w:rsidRPr="00EB4663">
        <w:rPr>
          <w:rFonts w:ascii="Times New Roman" w:hAnsi="Times New Roman" w:cs="Times New Roman"/>
          <w:sz w:val="24"/>
          <w:szCs w:val="24"/>
        </w:rPr>
        <w:t xml:space="preserve">2.5” на одной стороне </w:t>
      </w:r>
      <w:r w:rsidR="004A6809" w:rsidRPr="00EB4663">
        <w:rPr>
          <w:rFonts w:ascii="Times New Roman" w:hAnsi="Times New Roman" w:cs="Times New Roman"/>
          <w:sz w:val="24"/>
          <w:szCs w:val="24"/>
        </w:rPr>
        <w:t>и гладкие</w:t>
      </w:r>
      <w:r w:rsidRPr="00EB4663">
        <w:rPr>
          <w:rFonts w:ascii="Times New Roman" w:hAnsi="Times New Roman" w:cs="Times New Roman"/>
          <w:sz w:val="24"/>
          <w:szCs w:val="24"/>
        </w:rPr>
        <w:t xml:space="preserve"> </w:t>
      </w:r>
      <w:r w:rsidR="004A6809" w:rsidRPr="00EB4663">
        <w:rPr>
          <w:rFonts w:ascii="Times New Roman" w:hAnsi="Times New Roman" w:cs="Times New Roman"/>
          <w:sz w:val="24"/>
          <w:szCs w:val="24"/>
        </w:rPr>
        <w:t>с другой</w:t>
      </w:r>
      <w:r w:rsidRPr="00EB4663">
        <w:rPr>
          <w:rFonts w:ascii="Times New Roman" w:hAnsi="Times New Roman" w:cs="Times New Roman"/>
          <w:sz w:val="24"/>
          <w:szCs w:val="24"/>
        </w:rPr>
        <w:t xml:space="preserve"> стороны.</w:t>
      </w:r>
    </w:p>
    <w:p w14:paraId="268B294C" w14:textId="77777777" w:rsidR="008D1644" w:rsidRDefault="008D1644" w:rsidP="00F602A1">
      <w:pPr>
        <w:spacing w:after="0" w:line="240" w:lineRule="auto"/>
        <w:ind w:right="283"/>
        <w:jc w:val="both"/>
        <w:rPr>
          <w:rFonts w:ascii="Times New Roman" w:hAnsi="Times New Roman" w:cs="Times New Roman"/>
          <w:sz w:val="24"/>
          <w:szCs w:val="24"/>
        </w:rPr>
      </w:pPr>
    </w:p>
    <w:p w14:paraId="36A4D45C" w14:textId="77777777" w:rsidR="00A60623" w:rsidRPr="00A60623" w:rsidRDefault="00A60623" w:rsidP="00F602A1">
      <w:pPr>
        <w:spacing w:after="0" w:line="240" w:lineRule="auto"/>
        <w:ind w:right="283"/>
        <w:jc w:val="both"/>
        <w:rPr>
          <w:rFonts w:ascii="Times New Roman" w:hAnsi="Times New Roman" w:cs="Times New Roman"/>
          <w:b/>
          <w:sz w:val="24"/>
          <w:szCs w:val="24"/>
        </w:rPr>
      </w:pPr>
      <w:r w:rsidRPr="00A3708C">
        <w:rPr>
          <w:rFonts w:ascii="Times New Roman" w:hAnsi="Times New Roman" w:cs="Times New Roman"/>
          <w:b/>
          <w:sz w:val="24"/>
          <w:szCs w:val="24"/>
        </w:rPr>
        <w:t>4. КЛИНИЧЕСКИЕ ДАННЫЕ</w:t>
      </w:r>
    </w:p>
    <w:p w14:paraId="6C738B9C" w14:textId="77777777" w:rsidR="00A60623" w:rsidRPr="00A60623" w:rsidRDefault="00A60623" w:rsidP="00F602A1">
      <w:pPr>
        <w:spacing w:after="0" w:line="240" w:lineRule="auto"/>
        <w:ind w:right="283"/>
        <w:jc w:val="both"/>
        <w:rPr>
          <w:rFonts w:ascii="Times New Roman" w:hAnsi="Times New Roman" w:cs="Times New Roman"/>
          <w:b/>
          <w:bCs/>
          <w:sz w:val="24"/>
          <w:szCs w:val="24"/>
        </w:rPr>
      </w:pPr>
      <w:r w:rsidRPr="00A60623">
        <w:rPr>
          <w:rFonts w:ascii="Times New Roman" w:hAnsi="Times New Roman" w:cs="Times New Roman"/>
          <w:b/>
          <w:bCs/>
          <w:sz w:val="24"/>
          <w:szCs w:val="24"/>
        </w:rPr>
        <w:t>4.1 Показания к применению</w:t>
      </w:r>
    </w:p>
    <w:p w14:paraId="27BFD6BC" w14:textId="77777777" w:rsidR="00EB4663" w:rsidRPr="00EB4663" w:rsidRDefault="00EB4663" w:rsidP="004A6809">
      <w:pPr>
        <w:numPr>
          <w:ilvl w:val="0"/>
          <w:numId w:val="12"/>
        </w:numPr>
        <w:spacing w:after="0" w:line="240" w:lineRule="auto"/>
        <w:ind w:left="0" w:right="283" w:hanging="284"/>
        <w:jc w:val="both"/>
        <w:rPr>
          <w:rFonts w:ascii="Times New Roman" w:hAnsi="Times New Roman" w:cs="Times New Roman"/>
          <w:sz w:val="24"/>
          <w:szCs w:val="24"/>
        </w:rPr>
      </w:pPr>
      <w:proofErr w:type="spellStart"/>
      <w:r w:rsidRPr="00EB4663">
        <w:rPr>
          <w:rFonts w:ascii="Times New Roman" w:hAnsi="Times New Roman" w:cs="Times New Roman"/>
          <w:sz w:val="24"/>
          <w:szCs w:val="24"/>
        </w:rPr>
        <w:t>адъювантная</w:t>
      </w:r>
      <w:proofErr w:type="spellEnd"/>
      <w:r w:rsidRPr="00EB4663">
        <w:rPr>
          <w:rFonts w:ascii="Times New Roman" w:hAnsi="Times New Roman" w:cs="Times New Roman"/>
          <w:sz w:val="24"/>
          <w:szCs w:val="24"/>
        </w:rPr>
        <w:t xml:space="preserve"> терапия рака молочной железы у женщин в постменопаузе, с </w:t>
      </w:r>
      <w:proofErr w:type="spellStart"/>
      <w:r w:rsidRPr="00EB4663">
        <w:rPr>
          <w:rFonts w:ascii="Times New Roman" w:hAnsi="Times New Roman" w:cs="Times New Roman"/>
          <w:sz w:val="24"/>
          <w:szCs w:val="24"/>
        </w:rPr>
        <w:t>гормоно</w:t>
      </w:r>
      <w:proofErr w:type="spellEnd"/>
      <w:r w:rsidRPr="00EB4663">
        <w:rPr>
          <w:rFonts w:ascii="Times New Roman" w:hAnsi="Times New Roman" w:cs="Times New Roman"/>
          <w:sz w:val="24"/>
          <w:szCs w:val="24"/>
        </w:rPr>
        <w:t xml:space="preserve">-позитивным ранним инвазивным раком молочной железы </w:t>
      </w:r>
    </w:p>
    <w:p w14:paraId="059DB5E7" w14:textId="5224F7C4" w:rsidR="00EB4663" w:rsidRPr="00EB4663" w:rsidRDefault="00EB4663" w:rsidP="004A6809">
      <w:pPr>
        <w:numPr>
          <w:ilvl w:val="0"/>
          <w:numId w:val="12"/>
        </w:numPr>
        <w:spacing w:after="0" w:line="240" w:lineRule="auto"/>
        <w:ind w:left="0" w:right="283" w:hanging="284"/>
        <w:jc w:val="both"/>
        <w:rPr>
          <w:rFonts w:ascii="Times New Roman" w:hAnsi="Times New Roman" w:cs="Times New Roman"/>
          <w:sz w:val="24"/>
          <w:szCs w:val="24"/>
        </w:rPr>
      </w:pPr>
      <w:r w:rsidRPr="00EB4663">
        <w:rPr>
          <w:rFonts w:ascii="Times New Roman" w:hAnsi="Times New Roman" w:cs="Times New Roman"/>
          <w:sz w:val="24"/>
          <w:szCs w:val="24"/>
        </w:rPr>
        <w:t xml:space="preserve">продолжение </w:t>
      </w:r>
      <w:proofErr w:type="spellStart"/>
      <w:r w:rsidRPr="00EB4663">
        <w:rPr>
          <w:rFonts w:ascii="Times New Roman" w:hAnsi="Times New Roman" w:cs="Times New Roman"/>
          <w:sz w:val="24"/>
          <w:szCs w:val="24"/>
        </w:rPr>
        <w:t>адъювантной</w:t>
      </w:r>
      <w:proofErr w:type="spellEnd"/>
      <w:r w:rsidRPr="00EB4663">
        <w:rPr>
          <w:rFonts w:ascii="Times New Roman" w:hAnsi="Times New Roman" w:cs="Times New Roman"/>
          <w:sz w:val="24"/>
          <w:szCs w:val="24"/>
        </w:rPr>
        <w:t xml:space="preserve"> </w:t>
      </w:r>
      <w:r w:rsidR="004A6809" w:rsidRPr="00EB4663">
        <w:rPr>
          <w:rFonts w:ascii="Times New Roman" w:hAnsi="Times New Roman" w:cs="Times New Roman"/>
          <w:sz w:val="24"/>
          <w:szCs w:val="24"/>
        </w:rPr>
        <w:t>терапии у</w:t>
      </w:r>
      <w:r w:rsidRPr="00EB4663">
        <w:rPr>
          <w:rFonts w:ascii="Times New Roman" w:hAnsi="Times New Roman" w:cs="Times New Roman"/>
          <w:sz w:val="24"/>
          <w:szCs w:val="24"/>
        </w:rPr>
        <w:t xml:space="preserve"> женщин в постменопаузе с </w:t>
      </w:r>
      <w:proofErr w:type="spellStart"/>
      <w:r w:rsidRPr="00EB4663">
        <w:rPr>
          <w:rFonts w:ascii="Times New Roman" w:hAnsi="Times New Roman" w:cs="Times New Roman"/>
          <w:sz w:val="24"/>
          <w:szCs w:val="24"/>
        </w:rPr>
        <w:t>гормоно</w:t>
      </w:r>
      <w:proofErr w:type="spellEnd"/>
      <w:r w:rsidRPr="00EB4663">
        <w:rPr>
          <w:rFonts w:ascii="Times New Roman" w:hAnsi="Times New Roman" w:cs="Times New Roman"/>
          <w:sz w:val="24"/>
          <w:szCs w:val="24"/>
        </w:rPr>
        <w:t xml:space="preserve">-позитивным ранним инвазивным раком молочной железы, предварительно получавших стандартную </w:t>
      </w:r>
      <w:proofErr w:type="spellStart"/>
      <w:r w:rsidRPr="00EB4663">
        <w:rPr>
          <w:rFonts w:ascii="Times New Roman" w:hAnsi="Times New Roman" w:cs="Times New Roman"/>
          <w:sz w:val="24"/>
          <w:szCs w:val="24"/>
        </w:rPr>
        <w:t>адъювантную</w:t>
      </w:r>
      <w:proofErr w:type="spellEnd"/>
      <w:r w:rsidRPr="00EB4663">
        <w:rPr>
          <w:rFonts w:ascii="Times New Roman" w:hAnsi="Times New Roman" w:cs="Times New Roman"/>
          <w:sz w:val="24"/>
          <w:szCs w:val="24"/>
        </w:rPr>
        <w:t xml:space="preserve"> терапию тамоксифеном в течение 5 лет</w:t>
      </w:r>
    </w:p>
    <w:p w14:paraId="0E581CF6" w14:textId="77777777" w:rsidR="00EB4663" w:rsidRPr="00EB4663" w:rsidRDefault="00EB4663" w:rsidP="004A6809">
      <w:pPr>
        <w:numPr>
          <w:ilvl w:val="0"/>
          <w:numId w:val="13"/>
        </w:numPr>
        <w:spacing w:after="0" w:line="240" w:lineRule="auto"/>
        <w:ind w:left="0" w:right="283" w:hanging="284"/>
        <w:jc w:val="both"/>
        <w:rPr>
          <w:rFonts w:ascii="Times New Roman" w:hAnsi="Times New Roman" w:cs="Times New Roman"/>
          <w:sz w:val="24"/>
          <w:szCs w:val="24"/>
        </w:rPr>
      </w:pPr>
      <w:r w:rsidRPr="00EB4663">
        <w:rPr>
          <w:rFonts w:ascii="Times New Roman" w:hAnsi="Times New Roman" w:cs="Times New Roman"/>
          <w:sz w:val="24"/>
          <w:szCs w:val="24"/>
        </w:rPr>
        <w:t xml:space="preserve">терапия первой линии у женщин в постменопаузе с </w:t>
      </w:r>
      <w:proofErr w:type="spellStart"/>
      <w:r w:rsidRPr="00EB4663">
        <w:rPr>
          <w:rFonts w:ascii="Times New Roman" w:hAnsi="Times New Roman" w:cs="Times New Roman"/>
          <w:sz w:val="24"/>
          <w:szCs w:val="24"/>
        </w:rPr>
        <w:t>гормоно</w:t>
      </w:r>
      <w:proofErr w:type="spellEnd"/>
      <w:r w:rsidRPr="00EB4663">
        <w:rPr>
          <w:rFonts w:ascii="Times New Roman" w:hAnsi="Times New Roman" w:cs="Times New Roman"/>
          <w:sz w:val="24"/>
          <w:szCs w:val="24"/>
        </w:rPr>
        <w:t>-позитивным раком молочной железы</w:t>
      </w:r>
    </w:p>
    <w:p w14:paraId="655BCC20" w14:textId="77777777" w:rsidR="00EB4663" w:rsidRPr="00EB4663" w:rsidRDefault="00EB4663" w:rsidP="004A6809">
      <w:pPr>
        <w:numPr>
          <w:ilvl w:val="0"/>
          <w:numId w:val="13"/>
        </w:numPr>
        <w:spacing w:after="0" w:line="240" w:lineRule="auto"/>
        <w:ind w:left="0" w:right="283" w:hanging="284"/>
        <w:jc w:val="both"/>
        <w:rPr>
          <w:rFonts w:ascii="Times New Roman" w:hAnsi="Times New Roman" w:cs="Times New Roman"/>
          <w:sz w:val="24"/>
          <w:szCs w:val="24"/>
        </w:rPr>
      </w:pPr>
      <w:r w:rsidRPr="00EB4663">
        <w:rPr>
          <w:rFonts w:ascii="Times New Roman" w:hAnsi="Times New Roman" w:cs="Times New Roman"/>
          <w:sz w:val="24"/>
          <w:szCs w:val="24"/>
        </w:rPr>
        <w:t xml:space="preserve">распространенный рак молочной железы после рецидива или прогрессирования у женщин в постменопаузе (естественной или вызванной искусственно), получавших предшествующую терапию </w:t>
      </w:r>
      <w:proofErr w:type="spellStart"/>
      <w:r w:rsidRPr="00EB4663">
        <w:rPr>
          <w:rFonts w:ascii="Times New Roman" w:hAnsi="Times New Roman" w:cs="Times New Roman"/>
          <w:sz w:val="24"/>
          <w:szCs w:val="24"/>
        </w:rPr>
        <w:t>антиэстрогенами</w:t>
      </w:r>
      <w:proofErr w:type="spellEnd"/>
    </w:p>
    <w:p w14:paraId="0DB2E1C3" w14:textId="77777777" w:rsidR="00EB4663" w:rsidRPr="00EB4663" w:rsidRDefault="00EB4663" w:rsidP="004A6809">
      <w:pPr>
        <w:numPr>
          <w:ilvl w:val="0"/>
          <w:numId w:val="13"/>
        </w:numPr>
        <w:spacing w:after="0" w:line="240" w:lineRule="auto"/>
        <w:ind w:left="0" w:right="283" w:hanging="284"/>
        <w:jc w:val="both"/>
        <w:rPr>
          <w:rFonts w:ascii="Times New Roman" w:hAnsi="Times New Roman" w:cs="Times New Roman"/>
          <w:sz w:val="24"/>
          <w:szCs w:val="24"/>
        </w:rPr>
      </w:pPr>
      <w:proofErr w:type="spellStart"/>
      <w:r w:rsidRPr="00EB4663">
        <w:rPr>
          <w:rFonts w:ascii="Times New Roman" w:hAnsi="Times New Roman" w:cs="Times New Roman"/>
          <w:sz w:val="24"/>
          <w:szCs w:val="24"/>
        </w:rPr>
        <w:t>неоадьювантная</w:t>
      </w:r>
      <w:proofErr w:type="spellEnd"/>
      <w:r w:rsidRPr="00EB4663">
        <w:rPr>
          <w:rFonts w:ascii="Times New Roman" w:hAnsi="Times New Roman" w:cs="Times New Roman"/>
          <w:sz w:val="24"/>
          <w:szCs w:val="24"/>
        </w:rPr>
        <w:t xml:space="preserve"> терапия у женщин в постменопаузе с </w:t>
      </w:r>
      <w:proofErr w:type="spellStart"/>
      <w:r w:rsidRPr="00EB4663">
        <w:rPr>
          <w:rFonts w:ascii="Times New Roman" w:hAnsi="Times New Roman" w:cs="Times New Roman"/>
          <w:sz w:val="24"/>
          <w:szCs w:val="24"/>
        </w:rPr>
        <w:t>гормоно</w:t>
      </w:r>
      <w:proofErr w:type="spellEnd"/>
      <w:r w:rsidRPr="00EB4663">
        <w:rPr>
          <w:rFonts w:ascii="Times New Roman" w:hAnsi="Times New Roman" w:cs="Times New Roman"/>
          <w:sz w:val="24"/>
          <w:szCs w:val="24"/>
        </w:rPr>
        <w:t xml:space="preserve">-позитивным, </w:t>
      </w:r>
      <w:r w:rsidRPr="00EB4663">
        <w:rPr>
          <w:rFonts w:ascii="Times New Roman" w:hAnsi="Times New Roman" w:cs="Times New Roman"/>
          <w:sz w:val="24"/>
          <w:szCs w:val="24"/>
          <w:lang w:val="en-US"/>
        </w:rPr>
        <w:t>HER</w:t>
      </w:r>
      <w:r w:rsidRPr="00EB4663">
        <w:rPr>
          <w:rFonts w:ascii="Times New Roman" w:hAnsi="Times New Roman" w:cs="Times New Roman"/>
          <w:sz w:val="24"/>
          <w:szCs w:val="24"/>
        </w:rPr>
        <w:t>-2 негативным раком молочной железы, когда химиотерапия не является подходящей терапией и немедленное оперативное вмешательство не показано</w:t>
      </w:r>
    </w:p>
    <w:p w14:paraId="1C45C18F" w14:textId="4684347F" w:rsidR="002D7009" w:rsidRDefault="002D7009" w:rsidP="004A6809">
      <w:pPr>
        <w:spacing w:after="0" w:line="240" w:lineRule="auto"/>
        <w:ind w:right="283"/>
        <w:jc w:val="both"/>
        <w:rPr>
          <w:rFonts w:ascii="Times New Roman" w:hAnsi="Times New Roman" w:cs="Times New Roman"/>
          <w:sz w:val="24"/>
          <w:szCs w:val="24"/>
        </w:rPr>
      </w:pPr>
      <w:r w:rsidRPr="002D7009">
        <w:rPr>
          <w:rFonts w:ascii="Times New Roman" w:hAnsi="Times New Roman" w:cs="Times New Roman"/>
          <w:sz w:val="24"/>
          <w:szCs w:val="24"/>
        </w:rPr>
        <w:t>Эффективность препарата у пациенток с раком молочной железы, не содержащим гормональных рецепторов, не продемонстрирована.</w:t>
      </w:r>
    </w:p>
    <w:p w14:paraId="58DEB9E9" w14:textId="77777777" w:rsidR="004A6809" w:rsidRDefault="004A6809" w:rsidP="004A6809">
      <w:pPr>
        <w:spacing w:after="0" w:line="240" w:lineRule="auto"/>
        <w:ind w:right="283"/>
        <w:jc w:val="both"/>
        <w:rPr>
          <w:rFonts w:ascii="Times New Roman" w:hAnsi="Times New Roman" w:cs="Times New Roman"/>
          <w:sz w:val="24"/>
          <w:szCs w:val="24"/>
        </w:rPr>
      </w:pPr>
    </w:p>
    <w:p w14:paraId="6358952E" w14:textId="6E1E523C" w:rsidR="00873CEA" w:rsidRPr="00873CEA" w:rsidRDefault="00873CEA" w:rsidP="00F602A1">
      <w:pPr>
        <w:spacing w:after="0" w:line="240" w:lineRule="auto"/>
        <w:ind w:right="283"/>
        <w:jc w:val="both"/>
        <w:rPr>
          <w:rFonts w:ascii="Times New Roman" w:hAnsi="Times New Roman" w:cs="Times New Roman"/>
          <w:b/>
          <w:sz w:val="24"/>
          <w:szCs w:val="24"/>
        </w:rPr>
      </w:pPr>
      <w:r w:rsidRPr="00873CEA">
        <w:rPr>
          <w:rFonts w:ascii="Times New Roman" w:hAnsi="Times New Roman" w:cs="Times New Roman"/>
          <w:b/>
          <w:sz w:val="24"/>
          <w:szCs w:val="24"/>
        </w:rPr>
        <w:t>4.2 Режим дозирования и способ применения</w:t>
      </w:r>
    </w:p>
    <w:p w14:paraId="1F58D5A2" w14:textId="4893FA59" w:rsidR="00CB3F7D" w:rsidRPr="00CB3F7D" w:rsidRDefault="00CB3F7D" w:rsidP="00F602A1">
      <w:pPr>
        <w:autoSpaceDE w:val="0"/>
        <w:autoSpaceDN w:val="0"/>
        <w:adjustRightInd w:val="0"/>
        <w:spacing w:after="0" w:line="240" w:lineRule="auto"/>
        <w:ind w:right="283"/>
        <w:jc w:val="both"/>
        <w:rPr>
          <w:rFonts w:ascii="Times New Roman" w:eastAsia="Times New Roman" w:hAnsi="Times New Roman" w:cs="Times New Roman"/>
          <w:b/>
          <w:bCs/>
          <w:iCs/>
          <w:snapToGrid w:val="0"/>
          <w:sz w:val="24"/>
          <w:szCs w:val="24"/>
          <w:lang w:eastAsia="ru-RU"/>
        </w:rPr>
      </w:pPr>
      <w:r w:rsidRPr="00CB3F7D">
        <w:rPr>
          <w:rFonts w:ascii="Times New Roman" w:eastAsia="Times New Roman" w:hAnsi="Times New Roman" w:cs="Times New Roman"/>
          <w:b/>
          <w:bCs/>
          <w:iCs/>
          <w:snapToGrid w:val="0"/>
          <w:sz w:val="24"/>
          <w:szCs w:val="24"/>
          <w:lang w:eastAsia="ru-RU"/>
        </w:rPr>
        <w:t>Режим дозирования</w:t>
      </w:r>
    </w:p>
    <w:p w14:paraId="672D7839" w14:textId="50CB390F" w:rsidR="002D7009" w:rsidRPr="002D7009" w:rsidRDefault="002D7009" w:rsidP="00F602A1">
      <w:pPr>
        <w:autoSpaceDE w:val="0"/>
        <w:autoSpaceDN w:val="0"/>
        <w:adjustRightInd w:val="0"/>
        <w:spacing w:after="0" w:line="240" w:lineRule="auto"/>
        <w:ind w:right="283"/>
        <w:jc w:val="both"/>
        <w:rPr>
          <w:rFonts w:ascii="Times New Roman" w:eastAsia="Times New Roman" w:hAnsi="Times New Roman" w:cs="Times New Roman"/>
          <w:i/>
          <w:snapToGrid w:val="0"/>
          <w:sz w:val="24"/>
          <w:szCs w:val="24"/>
          <w:lang w:eastAsia="ru-RU"/>
        </w:rPr>
      </w:pPr>
      <w:r w:rsidRPr="002D7009">
        <w:rPr>
          <w:rFonts w:ascii="Times New Roman" w:eastAsia="Times New Roman" w:hAnsi="Times New Roman" w:cs="Times New Roman"/>
          <w:i/>
          <w:snapToGrid w:val="0"/>
          <w:sz w:val="24"/>
          <w:szCs w:val="24"/>
          <w:lang w:eastAsia="ru-RU"/>
        </w:rPr>
        <w:t xml:space="preserve">Взрослые и пациентки пожилого возраста </w:t>
      </w:r>
    </w:p>
    <w:p w14:paraId="566A2216" w14:textId="648508A4" w:rsidR="002D7009" w:rsidRPr="002D7009" w:rsidRDefault="002D7009"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2D7009">
        <w:rPr>
          <w:rFonts w:ascii="Times New Roman" w:eastAsia="Times New Roman" w:hAnsi="Times New Roman" w:cs="Times New Roman"/>
          <w:snapToGrid w:val="0"/>
          <w:sz w:val="24"/>
          <w:szCs w:val="24"/>
          <w:lang w:eastAsia="ru-RU"/>
        </w:rPr>
        <w:t xml:space="preserve">Рекомендуемая доза - 2,5 мг один раз в сутки, ежедневно. У пациенток пожилого возраста не требуется коррекции дозы препарата </w:t>
      </w:r>
      <w:proofErr w:type="spellStart"/>
      <w:r>
        <w:rPr>
          <w:rFonts w:ascii="Times New Roman" w:eastAsia="Times New Roman" w:hAnsi="Times New Roman" w:cs="Times New Roman"/>
          <w:snapToGrid w:val="0"/>
          <w:sz w:val="24"/>
          <w:szCs w:val="24"/>
          <w:lang w:eastAsia="ru-RU"/>
        </w:rPr>
        <w:t>Летродэй</w:t>
      </w:r>
      <w:proofErr w:type="spellEnd"/>
      <w:r w:rsidRPr="002D7009">
        <w:rPr>
          <w:rFonts w:ascii="Times New Roman" w:eastAsia="Times New Roman" w:hAnsi="Times New Roman" w:cs="Times New Roman"/>
          <w:snapToGrid w:val="0"/>
          <w:sz w:val="24"/>
          <w:szCs w:val="24"/>
          <w:lang w:eastAsia="ru-RU"/>
        </w:rPr>
        <w:t xml:space="preserve">. </w:t>
      </w:r>
    </w:p>
    <w:p w14:paraId="40AA77BD" w14:textId="3D4B9AE4" w:rsidR="002D7009" w:rsidRPr="002D7009" w:rsidRDefault="002D7009"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2D7009">
        <w:rPr>
          <w:rFonts w:ascii="Times New Roman" w:eastAsia="Times New Roman" w:hAnsi="Times New Roman" w:cs="Times New Roman"/>
          <w:snapToGrid w:val="0"/>
          <w:sz w:val="24"/>
          <w:szCs w:val="24"/>
          <w:lang w:eastAsia="ru-RU"/>
        </w:rPr>
        <w:lastRenderedPageBreak/>
        <w:t xml:space="preserve">У пациентов с распространенным или метастатическим раком молочной железы терапию препаратом </w:t>
      </w:r>
      <w:proofErr w:type="spellStart"/>
      <w:r>
        <w:rPr>
          <w:rFonts w:ascii="Times New Roman" w:eastAsia="Times New Roman" w:hAnsi="Times New Roman" w:cs="Times New Roman"/>
          <w:snapToGrid w:val="0"/>
          <w:sz w:val="24"/>
          <w:szCs w:val="24"/>
          <w:lang w:eastAsia="ru-RU"/>
        </w:rPr>
        <w:t>Летродэй</w:t>
      </w:r>
      <w:proofErr w:type="spellEnd"/>
      <w:r w:rsidRPr="002D7009">
        <w:rPr>
          <w:rFonts w:ascii="Times New Roman" w:eastAsia="Times New Roman" w:hAnsi="Times New Roman" w:cs="Times New Roman"/>
          <w:snapToGrid w:val="0"/>
          <w:sz w:val="24"/>
          <w:szCs w:val="24"/>
          <w:lang w:eastAsia="ru-RU"/>
        </w:rPr>
        <w:t xml:space="preserve"> продолжают до появления признаков прогрессирования заболевания.</w:t>
      </w:r>
    </w:p>
    <w:p w14:paraId="66C06E04" w14:textId="60A553E3" w:rsidR="002D7009" w:rsidRPr="002D7009" w:rsidRDefault="002D7009"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2D7009">
        <w:rPr>
          <w:rFonts w:ascii="Times New Roman" w:eastAsia="Times New Roman" w:hAnsi="Times New Roman" w:cs="Times New Roman"/>
          <w:snapToGrid w:val="0"/>
          <w:sz w:val="24"/>
          <w:szCs w:val="24"/>
          <w:lang w:eastAsia="ru-RU"/>
        </w:rPr>
        <w:t xml:space="preserve">При </w:t>
      </w:r>
      <w:proofErr w:type="spellStart"/>
      <w:r w:rsidRPr="002D7009">
        <w:rPr>
          <w:rFonts w:ascii="Times New Roman" w:eastAsia="Times New Roman" w:hAnsi="Times New Roman" w:cs="Times New Roman"/>
          <w:snapToGrid w:val="0"/>
          <w:sz w:val="24"/>
          <w:szCs w:val="24"/>
          <w:lang w:eastAsia="ru-RU"/>
        </w:rPr>
        <w:t>адъювантной</w:t>
      </w:r>
      <w:proofErr w:type="spellEnd"/>
      <w:r w:rsidRPr="002D7009">
        <w:rPr>
          <w:rFonts w:ascii="Times New Roman" w:eastAsia="Times New Roman" w:hAnsi="Times New Roman" w:cs="Times New Roman"/>
          <w:snapToGrid w:val="0"/>
          <w:sz w:val="24"/>
          <w:szCs w:val="24"/>
          <w:lang w:eastAsia="ru-RU"/>
        </w:rPr>
        <w:t xml:space="preserve"> и расширенной </w:t>
      </w:r>
      <w:proofErr w:type="spellStart"/>
      <w:r w:rsidRPr="002D7009">
        <w:rPr>
          <w:rFonts w:ascii="Times New Roman" w:eastAsia="Times New Roman" w:hAnsi="Times New Roman" w:cs="Times New Roman"/>
          <w:snapToGrid w:val="0"/>
          <w:sz w:val="24"/>
          <w:szCs w:val="24"/>
          <w:lang w:eastAsia="ru-RU"/>
        </w:rPr>
        <w:t>адъювантной</w:t>
      </w:r>
      <w:proofErr w:type="spellEnd"/>
      <w:r w:rsidRPr="002D7009">
        <w:rPr>
          <w:rFonts w:ascii="Times New Roman" w:eastAsia="Times New Roman" w:hAnsi="Times New Roman" w:cs="Times New Roman"/>
          <w:snapToGrid w:val="0"/>
          <w:sz w:val="24"/>
          <w:szCs w:val="24"/>
          <w:lang w:eastAsia="ru-RU"/>
        </w:rPr>
        <w:t xml:space="preserve"> терапии, лечение препаратом </w:t>
      </w:r>
      <w:proofErr w:type="spellStart"/>
      <w:r>
        <w:rPr>
          <w:rFonts w:ascii="Times New Roman" w:eastAsia="Times New Roman" w:hAnsi="Times New Roman" w:cs="Times New Roman"/>
          <w:snapToGrid w:val="0"/>
          <w:sz w:val="24"/>
          <w:szCs w:val="24"/>
          <w:lang w:eastAsia="ru-RU"/>
        </w:rPr>
        <w:t>Летродэй</w:t>
      </w:r>
      <w:proofErr w:type="spellEnd"/>
      <w:r w:rsidRPr="002D7009">
        <w:rPr>
          <w:rFonts w:ascii="Times New Roman" w:eastAsia="Times New Roman" w:hAnsi="Times New Roman" w:cs="Times New Roman"/>
          <w:snapToGrid w:val="0"/>
          <w:sz w:val="24"/>
          <w:szCs w:val="24"/>
          <w:lang w:eastAsia="ru-RU"/>
        </w:rPr>
        <w:t xml:space="preserve"> должно продолжаться на протяжении 5 лет или пока не настанет рецидив заболевания. </w:t>
      </w:r>
    </w:p>
    <w:p w14:paraId="7F497FEB" w14:textId="77777777" w:rsidR="002D7009" w:rsidRPr="002D7009" w:rsidRDefault="002D7009"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2D7009">
        <w:rPr>
          <w:rFonts w:ascii="Times New Roman" w:eastAsia="Times New Roman" w:hAnsi="Times New Roman" w:cs="Times New Roman"/>
          <w:snapToGrid w:val="0"/>
          <w:sz w:val="24"/>
          <w:szCs w:val="24"/>
          <w:lang w:eastAsia="ru-RU"/>
        </w:rPr>
        <w:t xml:space="preserve">Имеется опыт </w:t>
      </w:r>
      <w:proofErr w:type="spellStart"/>
      <w:r w:rsidRPr="002D7009">
        <w:rPr>
          <w:rFonts w:ascii="Times New Roman" w:eastAsia="Times New Roman" w:hAnsi="Times New Roman" w:cs="Times New Roman"/>
          <w:snapToGrid w:val="0"/>
          <w:sz w:val="24"/>
          <w:szCs w:val="24"/>
          <w:lang w:eastAsia="ru-RU"/>
        </w:rPr>
        <w:t>адъювантной</w:t>
      </w:r>
      <w:proofErr w:type="spellEnd"/>
      <w:r w:rsidRPr="002D7009">
        <w:rPr>
          <w:rFonts w:ascii="Times New Roman" w:eastAsia="Times New Roman" w:hAnsi="Times New Roman" w:cs="Times New Roman"/>
          <w:snapToGrid w:val="0"/>
          <w:sz w:val="24"/>
          <w:szCs w:val="24"/>
          <w:lang w:eastAsia="ru-RU"/>
        </w:rPr>
        <w:t xml:space="preserve"> последовательной терапии (прием </w:t>
      </w:r>
      <w:proofErr w:type="spellStart"/>
      <w:r w:rsidRPr="002D7009">
        <w:rPr>
          <w:rFonts w:ascii="Times New Roman" w:eastAsia="Times New Roman" w:hAnsi="Times New Roman" w:cs="Times New Roman"/>
          <w:snapToGrid w:val="0"/>
          <w:sz w:val="24"/>
          <w:szCs w:val="24"/>
          <w:lang w:eastAsia="ru-RU"/>
        </w:rPr>
        <w:t>летрозола</w:t>
      </w:r>
      <w:proofErr w:type="spellEnd"/>
      <w:r w:rsidRPr="002D7009">
        <w:rPr>
          <w:rFonts w:ascii="Times New Roman" w:eastAsia="Times New Roman" w:hAnsi="Times New Roman" w:cs="Times New Roman"/>
          <w:snapToGrid w:val="0"/>
          <w:sz w:val="24"/>
          <w:szCs w:val="24"/>
          <w:lang w:eastAsia="ru-RU"/>
        </w:rPr>
        <w:t xml:space="preserve"> в течение 2-х лет с переходом на тамоксифен в течение 3-х лет) (см. разделы 4.4 и 5.1).</w:t>
      </w:r>
    </w:p>
    <w:p w14:paraId="41BD4CDD" w14:textId="37840C00" w:rsidR="002D7009" w:rsidRPr="002D7009" w:rsidRDefault="002D7009" w:rsidP="00F602A1">
      <w:pPr>
        <w:spacing w:after="0" w:line="240" w:lineRule="auto"/>
        <w:ind w:right="283"/>
        <w:jc w:val="both"/>
        <w:rPr>
          <w:rFonts w:ascii="Times New Roman" w:eastAsia="Times New Roman" w:hAnsi="Times New Roman" w:cs="Times New Roman"/>
          <w:i/>
          <w:snapToGrid w:val="0"/>
          <w:sz w:val="24"/>
          <w:szCs w:val="24"/>
          <w:lang w:eastAsia="ru-RU"/>
        </w:rPr>
      </w:pPr>
      <w:r w:rsidRPr="002D7009">
        <w:rPr>
          <w:rFonts w:ascii="Times New Roman" w:eastAsia="Times New Roman" w:hAnsi="Times New Roman" w:cs="Times New Roman"/>
          <w:snapToGrid w:val="0"/>
          <w:sz w:val="24"/>
          <w:szCs w:val="24"/>
          <w:lang w:eastAsia="ru-RU"/>
        </w:rPr>
        <w:t xml:space="preserve">При </w:t>
      </w:r>
      <w:proofErr w:type="spellStart"/>
      <w:r w:rsidRPr="002D7009">
        <w:rPr>
          <w:rFonts w:ascii="Times New Roman" w:eastAsia="Times New Roman" w:hAnsi="Times New Roman" w:cs="Times New Roman"/>
          <w:snapToGrid w:val="0"/>
          <w:sz w:val="24"/>
          <w:szCs w:val="24"/>
          <w:lang w:eastAsia="ru-RU"/>
        </w:rPr>
        <w:t>неоадъювантной</w:t>
      </w:r>
      <w:proofErr w:type="spellEnd"/>
      <w:r w:rsidRPr="002D7009">
        <w:rPr>
          <w:rFonts w:ascii="Times New Roman" w:eastAsia="Times New Roman" w:hAnsi="Times New Roman" w:cs="Times New Roman"/>
          <w:snapToGrid w:val="0"/>
          <w:sz w:val="24"/>
          <w:szCs w:val="24"/>
          <w:lang w:eastAsia="ru-RU"/>
        </w:rPr>
        <w:t xml:space="preserve"> терапии, лечение препаратом </w:t>
      </w:r>
      <w:proofErr w:type="spellStart"/>
      <w:r>
        <w:rPr>
          <w:rFonts w:ascii="Times New Roman" w:eastAsia="Times New Roman" w:hAnsi="Times New Roman" w:cs="Times New Roman"/>
          <w:snapToGrid w:val="0"/>
          <w:sz w:val="24"/>
          <w:szCs w:val="24"/>
          <w:lang w:eastAsia="ru-RU"/>
        </w:rPr>
        <w:t>Летродэй</w:t>
      </w:r>
      <w:proofErr w:type="spellEnd"/>
      <w:r w:rsidRPr="002D7009">
        <w:rPr>
          <w:rFonts w:ascii="Times New Roman" w:eastAsia="Times New Roman" w:hAnsi="Times New Roman" w:cs="Times New Roman"/>
          <w:snapToGrid w:val="0"/>
          <w:sz w:val="24"/>
          <w:szCs w:val="24"/>
          <w:lang w:eastAsia="ru-RU"/>
        </w:rPr>
        <w:t xml:space="preserve"> можно проводить от 4 до 8 месяцев с целью установления оптимального уменьшения объёма опухоли. При неадекватном ответе следует отменить прием препарата </w:t>
      </w:r>
      <w:proofErr w:type="spellStart"/>
      <w:r>
        <w:rPr>
          <w:rFonts w:ascii="Times New Roman" w:eastAsia="Times New Roman" w:hAnsi="Times New Roman" w:cs="Times New Roman"/>
          <w:snapToGrid w:val="0"/>
          <w:sz w:val="24"/>
          <w:szCs w:val="24"/>
          <w:lang w:eastAsia="ru-RU"/>
        </w:rPr>
        <w:t>Летродэй</w:t>
      </w:r>
      <w:proofErr w:type="spellEnd"/>
      <w:r w:rsidRPr="002D7009">
        <w:rPr>
          <w:rFonts w:ascii="Times New Roman" w:eastAsia="Times New Roman" w:hAnsi="Times New Roman" w:cs="Times New Roman"/>
          <w:snapToGrid w:val="0"/>
          <w:sz w:val="24"/>
          <w:szCs w:val="24"/>
          <w:lang w:eastAsia="ru-RU"/>
        </w:rPr>
        <w:t>, назначить хирургическое лечение и обсудить с пациенткой дальнейшие возможности лечения.</w:t>
      </w:r>
      <w:r w:rsidRPr="002D7009">
        <w:rPr>
          <w:rFonts w:ascii="Times New Roman" w:eastAsia="Times New Roman" w:hAnsi="Times New Roman" w:cs="Times New Roman"/>
          <w:i/>
          <w:snapToGrid w:val="0"/>
          <w:sz w:val="24"/>
          <w:szCs w:val="24"/>
          <w:lang w:eastAsia="ru-RU"/>
        </w:rPr>
        <w:t xml:space="preserve"> </w:t>
      </w:r>
    </w:p>
    <w:p w14:paraId="163A82BE" w14:textId="77777777" w:rsidR="002D7009" w:rsidRPr="002D7009" w:rsidRDefault="002D7009" w:rsidP="00F602A1">
      <w:pPr>
        <w:spacing w:after="0" w:line="240" w:lineRule="auto"/>
        <w:ind w:right="283"/>
        <w:jc w:val="both"/>
        <w:rPr>
          <w:rFonts w:ascii="Times New Roman" w:eastAsia="Times New Roman" w:hAnsi="Times New Roman" w:cs="Times New Roman"/>
          <w:b/>
          <w:snapToGrid w:val="0"/>
          <w:sz w:val="24"/>
          <w:szCs w:val="24"/>
          <w:lang w:eastAsia="ru-RU"/>
        </w:rPr>
      </w:pPr>
      <w:r w:rsidRPr="002D7009">
        <w:rPr>
          <w:rFonts w:ascii="Times New Roman" w:eastAsia="Times New Roman" w:hAnsi="Times New Roman" w:cs="Times New Roman"/>
          <w:b/>
          <w:snapToGrid w:val="0"/>
          <w:sz w:val="24"/>
          <w:szCs w:val="24"/>
          <w:lang w:eastAsia="ru-RU"/>
        </w:rPr>
        <w:t>Особые группы пациентов</w:t>
      </w:r>
    </w:p>
    <w:p w14:paraId="5DB67F4D" w14:textId="77777777" w:rsidR="002D7009" w:rsidRPr="002D7009" w:rsidRDefault="002D7009" w:rsidP="00F602A1">
      <w:pPr>
        <w:spacing w:after="0" w:line="240" w:lineRule="auto"/>
        <w:ind w:right="283"/>
        <w:jc w:val="both"/>
        <w:rPr>
          <w:rFonts w:ascii="Times New Roman" w:eastAsia="Times New Roman" w:hAnsi="Times New Roman" w:cs="Times New Roman"/>
          <w:i/>
          <w:iCs/>
          <w:snapToGrid w:val="0"/>
          <w:sz w:val="24"/>
          <w:szCs w:val="24"/>
          <w:lang w:eastAsia="ru-RU"/>
        </w:rPr>
      </w:pPr>
      <w:r w:rsidRPr="002D7009">
        <w:rPr>
          <w:rFonts w:ascii="Times New Roman" w:eastAsia="Times New Roman" w:hAnsi="Times New Roman" w:cs="Times New Roman"/>
          <w:i/>
          <w:iCs/>
          <w:snapToGrid w:val="0"/>
          <w:sz w:val="24"/>
          <w:szCs w:val="24"/>
          <w:lang w:eastAsia="ru-RU"/>
        </w:rPr>
        <w:t>Дети и подростки</w:t>
      </w:r>
    </w:p>
    <w:p w14:paraId="3D3E835E" w14:textId="3A256732" w:rsidR="002D7009" w:rsidRPr="002D7009" w:rsidRDefault="002D7009" w:rsidP="00F602A1">
      <w:pPr>
        <w:spacing w:after="0" w:line="240" w:lineRule="auto"/>
        <w:ind w:right="283"/>
        <w:jc w:val="both"/>
        <w:rPr>
          <w:rFonts w:ascii="Times New Roman" w:eastAsia="Times New Roman" w:hAnsi="Times New Roman" w:cs="Times New Roman"/>
          <w:snapToGrid w:val="0"/>
          <w:sz w:val="24"/>
          <w:szCs w:val="24"/>
          <w:lang w:eastAsia="ru-RU"/>
        </w:rPr>
      </w:pPr>
      <w:proofErr w:type="spellStart"/>
      <w:r>
        <w:rPr>
          <w:rFonts w:ascii="Times New Roman" w:eastAsia="Times New Roman" w:hAnsi="Times New Roman" w:cs="Times New Roman"/>
          <w:snapToGrid w:val="0"/>
          <w:sz w:val="24"/>
          <w:szCs w:val="24"/>
          <w:lang w:eastAsia="ru-RU"/>
        </w:rPr>
        <w:t>Летродэй</w:t>
      </w:r>
      <w:proofErr w:type="spellEnd"/>
      <w:r w:rsidRPr="002D7009">
        <w:rPr>
          <w:rFonts w:ascii="Times New Roman" w:eastAsia="Times New Roman" w:hAnsi="Times New Roman" w:cs="Times New Roman"/>
          <w:snapToGrid w:val="0"/>
          <w:sz w:val="24"/>
          <w:szCs w:val="24"/>
          <w:lang w:eastAsia="ru-RU"/>
        </w:rPr>
        <w:t xml:space="preserve"> не рекомендуется применять в детском и подростковом возрасте. Эффективность и безопасность препарата у детей и подростков в возрасте до 17 лет ещё не установлена. Имеются лишь ограниченные данные, на основании которых нельзя создать рекомендации по дозировке.</w:t>
      </w:r>
    </w:p>
    <w:p w14:paraId="2242712F" w14:textId="77777777" w:rsidR="002D7009" w:rsidRPr="002D7009" w:rsidRDefault="002D7009" w:rsidP="00F602A1">
      <w:pPr>
        <w:spacing w:after="0" w:line="240" w:lineRule="auto"/>
        <w:ind w:right="283"/>
        <w:jc w:val="both"/>
        <w:rPr>
          <w:rFonts w:ascii="Times New Roman" w:eastAsia="Times New Roman" w:hAnsi="Times New Roman" w:cs="Times New Roman"/>
          <w:i/>
          <w:iCs/>
          <w:snapToGrid w:val="0"/>
          <w:sz w:val="24"/>
          <w:szCs w:val="24"/>
          <w:lang w:eastAsia="ru-RU"/>
        </w:rPr>
      </w:pPr>
      <w:r w:rsidRPr="002D7009">
        <w:rPr>
          <w:rFonts w:ascii="Times New Roman" w:eastAsia="Times New Roman" w:hAnsi="Times New Roman" w:cs="Times New Roman"/>
          <w:i/>
          <w:iCs/>
          <w:snapToGrid w:val="0"/>
          <w:sz w:val="24"/>
          <w:szCs w:val="24"/>
          <w:lang w:eastAsia="ru-RU"/>
        </w:rPr>
        <w:t>Пациентам с нарушением функций почек</w:t>
      </w:r>
    </w:p>
    <w:p w14:paraId="69FCEF37" w14:textId="533086FB" w:rsidR="002D7009" w:rsidRPr="002D7009" w:rsidRDefault="002D7009" w:rsidP="00F602A1">
      <w:pPr>
        <w:spacing w:after="0" w:line="240" w:lineRule="auto"/>
        <w:ind w:right="283"/>
        <w:jc w:val="both"/>
        <w:rPr>
          <w:rFonts w:ascii="Times New Roman" w:eastAsia="Times New Roman" w:hAnsi="Times New Roman" w:cs="Times New Roman"/>
          <w:snapToGrid w:val="0"/>
          <w:sz w:val="24"/>
          <w:szCs w:val="24"/>
          <w:lang w:eastAsia="ru-RU"/>
        </w:rPr>
      </w:pPr>
      <w:r w:rsidRPr="002D7009">
        <w:rPr>
          <w:rFonts w:ascii="Times New Roman" w:eastAsia="Times New Roman" w:hAnsi="Times New Roman" w:cs="Times New Roman"/>
          <w:snapToGrid w:val="0"/>
          <w:sz w:val="24"/>
          <w:szCs w:val="24"/>
          <w:lang w:eastAsia="ru-RU"/>
        </w:rPr>
        <w:t xml:space="preserve">Пациенткам с почечной недостаточностью и клиренсом креатинина ≥10 мл/мин не требуется коррекция дозы препарата </w:t>
      </w:r>
      <w:proofErr w:type="spellStart"/>
      <w:r>
        <w:rPr>
          <w:rFonts w:ascii="Times New Roman" w:eastAsia="Times New Roman" w:hAnsi="Times New Roman" w:cs="Times New Roman"/>
          <w:snapToGrid w:val="0"/>
          <w:sz w:val="24"/>
          <w:szCs w:val="24"/>
          <w:lang w:eastAsia="ru-RU"/>
        </w:rPr>
        <w:t>Летродэй</w:t>
      </w:r>
      <w:proofErr w:type="spellEnd"/>
      <w:r w:rsidRPr="002D7009">
        <w:rPr>
          <w:rFonts w:ascii="Times New Roman" w:eastAsia="Times New Roman" w:hAnsi="Times New Roman" w:cs="Times New Roman"/>
          <w:snapToGrid w:val="0"/>
          <w:sz w:val="24"/>
          <w:szCs w:val="24"/>
          <w:lang w:eastAsia="ru-RU"/>
        </w:rPr>
        <w:t>. Отсутствуют достаточные данные о лечении пациенток с почечной недостаточностью при клиренсе креатинина ниже 10мл/мин</w:t>
      </w:r>
      <w:r>
        <w:rPr>
          <w:rFonts w:ascii="Times New Roman" w:eastAsia="Times New Roman" w:hAnsi="Times New Roman" w:cs="Times New Roman"/>
          <w:snapToGrid w:val="0"/>
          <w:sz w:val="24"/>
          <w:szCs w:val="24"/>
          <w:lang w:eastAsia="ru-RU"/>
        </w:rPr>
        <w:t>.</w:t>
      </w:r>
    </w:p>
    <w:p w14:paraId="2771F456" w14:textId="77777777" w:rsidR="002D7009" w:rsidRPr="002D7009" w:rsidRDefault="002D7009" w:rsidP="00F602A1">
      <w:pPr>
        <w:spacing w:after="0" w:line="240" w:lineRule="auto"/>
        <w:ind w:right="283"/>
        <w:jc w:val="both"/>
        <w:rPr>
          <w:rFonts w:ascii="Times New Roman" w:eastAsia="Times New Roman" w:hAnsi="Times New Roman" w:cs="Times New Roman"/>
          <w:i/>
          <w:iCs/>
          <w:snapToGrid w:val="0"/>
          <w:sz w:val="24"/>
          <w:szCs w:val="24"/>
          <w:lang w:eastAsia="ru-RU"/>
        </w:rPr>
      </w:pPr>
      <w:r w:rsidRPr="002D7009">
        <w:rPr>
          <w:rFonts w:ascii="Times New Roman" w:eastAsia="Times New Roman" w:hAnsi="Times New Roman" w:cs="Times New Roman"/>
          <w:i/>
          <w:iCs/>
          <w:snapToGrid w:val="0"/>
          <w:sz w:val="24"/>
          <w:szCs w:val="24"/>
          <w:lang w:eastAsia="ru-RU"/>
        </w:rPr>
        <w:t>Пациентам с нарушением функций печени</w:t>
      </w:r>
    </w:p>
    <w:p w14:paraId="59B75B89" w14:textId="5F53684C" w:rsidR="002D7009" w:rsidRPr="002D7009" w:rsidRDefault="002D7009" w:rsidP="00F602A1">
      <w:pPr>
        <w:spacing w:after="0" w:line="240" w:lineRule="auto"/>
        <w:ind w:right="283"/>
        <w:jc w:val="both"/>
        <w:rPr>
          <w:rFonts w:ascii="Times New Roman" w:eastAsia="Times New Roman" w:hAnsi="Times New Roman" w:cs="Times New Roman"/>
          <w:snapToGrid w:val="0"/>
          <w:sz w:val="24"/>
          <w:szCs w:val="24"/>
          <w:lang w:eastAsia="ru-RU"/>
        </w:rPr>
      </w:pPr>
      <w:r w:rsidRPr="002D7009">
        <w:rPr>
          <w:rFonts w:ascii="Times New Roman" w:eastAsia="Times New Roman" w:hAnsi="Times New Roman" w:cs="Times New Roman"/>
          <w:snapToGrid w:val="0"/>
          <w:sz w:val="24"/>
          <w:szCs w:val="24"/>
          <w:lang w:eastAsia="ru-RU"/>
        </w:rPr>
        <w:t xml:space="preserve">Пациенткам с нарушением функции печени умеренной и средней тяжести (класс А или B по шкале Чайлд-Пью) не требуется коррекция дозы препарата </w:t>
      </w:r>
      <w:bookmarkStart w:id="1" w:name="_Hlk56074059"/>
      <w:proofErr w:type="spellStart"/>
      <w:r>
        <w:rPr>
          <w:rFonts w:ascii="Times New Roman" w:eastAsia="Times New Roman" w:hAnsi="Times New Roman" w:cs="Times New Roman"/>
          <w:snapToGrid w:val="0"/>
          <w:sz w:val="24"/>
          <w:szCs w:val="24"/>
          <w:lang w:eastAsia="ru-RU"/>
        </w:rPr>
        <w:t>Летродэй</w:t>
      </w:r>
      <w:bookmarkEnd w:id="1"/>
      <w:proofErr w:type="spellEnd"/>
      <w:r w:rsidRPr="002D7009">
        <w:rPr>
          <w:rFonts w:ascii="Times New Roman" w:eastAsia="Times New Roman" w:hAnsi="Times New Roman" w:cs="Times New Roman"/>
          <w:snapToGrid w:val="0"/>
          <w:sz w:val="24"/>
          <w:szCs w:val="24"/>
          <w:lang w:eastAsia="ru-RU"/>
        </w:rPr>
        <w:t>. Отсутствуют достаточные данные о применении препарата у пациентов с тяжелыми нарушениями функции печени. Необходим тщательный контроль пациентов с тяжёлыми нарушениями функции печени (класс С по шкале Чайлд-Пью).</w:t>
      </w:r>
    </w:p>
    <w:p w14:paraId="20CCAB75" w14:textId="68464567" w:rsidR="002D7009" w:rsidRPr="002D7009" w:rsidRDefault="002D7009" w:rsidP="00F602A1">
      <w:pPr>
        <w:autoSpaceDE w:val="0"/>
        <w:autoSpaceDN w:val="0"/>
        <w:adjustRightInd w:val="0"/>
        <w:spacing w:after="0" w:line="240" w:lineRule="auto"/>
        <w:ind w:right="283"/>
        <w:jc w:val="both"/>
        <w:rPr>
          <w:rFonts w:ascii="Times New Roman" w:eastAsia="Times New Roman" w:hAnsi="Times New Roman" w:cs="Times New Roman"/>
          <w:i/>
          <w:snapToGrid w:val="0"/>
          <w:sz w:val="24"/>
          <w:szCs w:val="24"/>
          <w:lang w:eastAsia="ru-RU"/>
        </w:rPr>
      </w:pPr>
      <w:r w:rsidRPr="002D7009">
        <w:rPr>
          <w:rFonts w:ascii="Times New Roman" w:eastAsia="Times New Roman" w:hAnsi="Times New Roman" w:cs="Times New Roman"/>
          <w:b/>
          <w:snapToGrid w:val="0"/>
          <w:sz w:val="24"/>
          <w:szCs w:val="24"/>
          <w:lang w:eastAsia="ru-RU" w:bidi="ru-RU"/>
        </w:rPr>
        <w:t>Способ применения</w:t>
      </w:r>
    </w:p>
    <w:p w14:paraId="66DA5A01" w14:textId="27884239" w:rsidR="002D7009" w:rsidRPr="002D7009" w:rsidRDefault="002D7009" w:rsidP="00F602A1">
      <w:pPr>
        <w:autoSpaceDE w:val="0"/>
        <w:autoSpaceDN w:val="0"/>
        <w:adjustRightInd w:val="0"/>
        <w:spacing w:after="0" w:line="240" w:lineRule="auto"/>
        <w:ind w:right="283"/>
        <w:jc w:val="both"/>
        <w:rPr>
          <w:rFonts w:ascii="Times New Roman" w:eastAsia="Times New Roman" w:hAnsi="Times New Roman" w:cs="Times New Roman"/>
          <w:iCs/>
          <w:snapToGrid w:val="0"/>
          <w:sz w:val="24"/>
          <w:szCs w:val="24"/>
          <w:lang w:eastAsia="ru-RU"/>
        </w:rPr>
      </w:pPr>
      <w:proofErr w:type="spellStart"/>
      <w:r w:rsidRPr="002D7009">
        <w:rPr>
          <w:rFonts w:ascii="Times New Roman" w:eastAsia="Times New Roman" w:hAnsi="Times New Roman" w:cs="Times New Roman"/>
          <w:iCs/>
          <w:snapToGrid w:val="0"/>
          <w:sz w:val="24"/>
          <w:szCs w:val="24"/>
          <w:lang w:eastAsia="ru-RU"/>
        </w:rPr>
        <w:t>Летродэй</w:t>
      </w:r>
      <w:proofErr w:type="spellEnd"/>
      <w:r w:rsidRPr="002D7009">
        <w:rPr>
          <w:rFonts w:ascii="Times New Roman" w:eastAsia="Times New Roman" w:hAnsi="Times New Roman" w:cs="Times New Roman"/>
          <w:iCs/>
          <w:snapToGrid w:val="0"/>
          <w:sz w:val="24"/>
          <w:szCs w:val="24"/>
          <w:lang w:eastAsia="ru-RU"/>
        </w:rPr>
        <w:t xml:space="preserve"> следует принимать внутрь, независимо от приема пищи.</w:t>
      </w:r>
    </w:p>
    <w:p w14:paraId="61BBC289" w14:textId="31615901" w:rsidR="002D7009" w:rsidRPr="002D7009" w:rsidRDefault="002D7009" w:rsidP="00F602A1">
      <w:pPr>
        <w:autoSpaceDE w:val="0"/>
        <w:autoSpaceDN w:val="0"/>
        <w:adjustRightInd w:val="0"/>
        <w:spacing w:after="0" w:line="240" w:lineRule="auto"/>
        <w:ind w:right="283"/>
        <w:jc w:val="both"/>
        <w:rPr>
          <w:rFonts w:ascii="Times New Roman" w:eastAsia="Times New Roman" w:hAnsi="Times New Roman" w:cs="Times New Roman"/>
          <w:iCs/>
          <w:snapToGrid w:val="0"/>
          <w:sz w:val="24"/>
          <w:szCs w:val="24"/>
          <w:lang w:eastAsia="ru-RU"/>
        </w:rPr>
      </w:pPr>
      <w:r w:rsidRPr="002D7009">
        <w:rPr>
          <w:rFonts w:ascii="Times New Roman" w:eastAsia="Times New Roman" w:hAnsi="Times New Roman" w:cs="Times New Roman"/>
          <w:iCs/>
          <w:snapToGrid w:val="0"/>
          <w:sz w:val="24"/>
          <w:szCs w:val="24"/>
          <w:lang w:eastAsia="ru-RU"/>
        </w:rPr>
        <w:t>Пропущенную дозу следует принять сразу как пациентка вспомнит. Однако</w:t>
      </w:r>
      <w:r>
        <w:rPr>
          <w:rFonts w:ascii="Times New Roman" w:eastAsia="Times New Roman" w:hAnsi="Times New Roman" w:cs="Times New Roman"/>
          <w:iCs/>
          <w:snapToGrid w:val="0"/>
          <w:sz w:val="24"/>
          <w:szCs w:val="24"/>
          <w:lang w:eastAsia="ru-RU"/>
        </w:rPr>
        <w:t>,</w:t>
      </w:r>
      <w:r w:rsidRPr="002D7009">
        <w:rPr>
          <w:rFonts w:ascii="Times New Roman" w:eastAsia="Times New Roman" w:hAnsi="Times New Roman" w:cs="Times New Roman"/>
          <w:iCs/>
          <w:snapToGrid w:val="0"/>
          <w:sz w:val="24"/>
          <w:szCs w:val="24"/>
          <w:lang w:eastAsia="ru-RU"/>
        </w:rPr>
        <w:t xml:space="preserve"> если пришло время приема следующей дозы (в течение 2 или 3 часов), пропущенную дозу следует пропустить и продолжать прием препарата в обычном режиме. Дозу не следует удваивать, так как при дозах, превышающих рекомендуемую дозу 2.5 мг, может возникнуть непропорциональное повышение системного воздействия.</w:t>
      </w:r>
    </w:p>
    <w:p w14:paraId="7B22EA5E" w14:textId="77777777" w:rsidR="002D7009" w:rsidRPr="002D7009" w:rsidRDefault="002D7009" w:rsidP="00F602A1">
      <w:pPr>
        <w:spacing w:after="0" w:line="240" w:lineRule="auto"/>
        <w:ind w:right="283"/>
        <w:jc w:val="both"/>
        <w:rPr>
          <w:rFonts w:ascii="Times New Roman" w:eastAsia="Times New Roman" w:hAnsi="Times New Roman" w:cs="Times New Roman"/>
          <w:b/>
          <w:snapToGrid w:val="0"/>
          <w:sz w:val="24"/>
          <w:szCs w:val="24"/>
          <w:lang w:eastAsia="ru-RU"/>
        </w:rPr>
      </w:pPr>
    </w:p>
    <w:p w14:paraId="058607DF" w14:textId="77777777" w:rsidR="002D7009" w:rsidRPr="002D7009" w:rsidRDefault="002D7009" w:rsidP="00F602A1">
      <w:pPr>
        <w:spacing w:after="0" w:line="240" w:lineRule="auto"/>
        <w:ind w:right="283"/>
        <w:jc w:val="both"/>
        <w:rPr>
          <w:rFonts w:ascii="Times New Roman" w:eastAsia="Times New Roman" w:hAnsi="Times New Roman" w:cs="Times New Roman"/>
          <w:b/>
          <w:snapToGrid w:val="0"/>
          <w:sz w:val="24"/>
          <w:szCs w:val="24"/>
          <w:lang w:eastAsia="ru-RU"/>
        </w:rPr>
      </w:pPr>
      <w:r w:rsidRPr="002D7009">
        <w:rPr>
          <w:rFonts w:ascii="Times New Roman" w:eastAsia="Times New Roman" w:hAnsi="Times New Roman" w:cs="Times New Roman"/>
          <w:b/>
          <w:snapToGrid w:val="0"/>
          <w:sz w:val="24"/>
          <w:szCs w:val="24"/>
          <w:lang w:eastAsia="ru-RU"/>
        </w:rPr>
        <w:t>4.3 Противопоказания</w:t>
      </w:r>
    </w:p>
    <w:p w14:paraId="01E8A2E6" w14:textId="7C8E7299" w:rsidR="002D7009" w:rsidRDefault="002D7009"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2D7009">
        <w:rPr>
          <w:rFonts w:ascii="Times New Roman" w:eastAsia="Times New Roman" w:hAnsi="Times New Roman" w:cs="Times New Roman"/>
          <w:snapToGrid w:val="0"/>
          <w:sz w:val="24"/>
          <w:szCs w:val="24"/>
          <w:lang w:eastAsia="ru-RU"/>
        </w:rPr>
        <w:t xml:space="preserve">- гиперчувствительность к </w:t>
      </w:r>
      <w:bookmarkStart w:id="2" w:name="_Hlk37242308"/>
      <w:r w:rsidRPr="002D7009">
        <w:rPr>
          <w:rFonts w:ascii="Times New Roman" w:eastAsia="Times New Roman" w:hAnsi="Times New Roman" w:cs="Times New Roman"/>
          <w:snapToGrid w:val="0"/>
          <w:sz w:val="24"/>
          <w:szCs w:val="24"/>
          <w:lang w:eastAsia="ru-RU"/>
        </w:rPr>
        <w:t xml:space="preserve">активному </w:t>
      </w:r>
      <w:bookmarkStart w:id="3" w:name="_Hlk25933134"/>
      <w:bookmarkEnd w:id="2"/>
      <w:r w:rsidRPr="002D7009">
        <w:rPr>
          <w:rFonts w:ascii="Times New Roman" w:eastAsia="Times New Roman" w:hAnsi="Times New Roman" w:cs="Times New Roman"/>
          <w:snapToGrid w:val="0"/>
          <w:sz w:val="24"/>
          <w:szCs w:val="24"/>
          <w:lang w:eastAsia="ru-RU"/>
        </w:rPr>
        <w:t>веществу или к любому из вспомогательных веществ, перечисленных в разделе 6.1</w:t>
      </w:r>
    </w:p>
    <w:bookmarkEnd w:id="3"/>
    <w:p w14:paraId="54BDFD76" w14:textId="77777777" w:rsidR="002D7009" w:rsidRPr="002D7009" w:rsidRDefault="002D7009"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2D7009">
        <w:rPr>
          <w:rFonts w:ascii="Times New Roman" w:eastAsia="Times New Roman" w:hAnsi="Times New Roman" w:cs="Times New Roman"/>
          <w:snapToGrid w:val="0"/>
          <w:sz w:val="24"/>
          <w:szCs w:val="24"/>
          <w:lang w:eastAsia="ru-RU"/>
        </w:rPr>
        <w:t xml:space="preserve">- эндокринный статус, характерный для </w:t>
      </w:r>
      <w:proofErr w:type="spellStart"/>
      <w:r w:rsidRPr="002D7009">
        <w:rPr>
          <w:rFonts w:ascii="Times New Roman" w:eastAsia="Times New Roman" w:hAnsi="Times New Roman" w:cs="Times New Roman"/>
          <w:snapToGrid w:val="0"/>
          <w:sz w:val="24"/>
          <w:szCs w:val="24"/>
          <w:lang w:eastAsia="ru-RU"/>
        </w:rPr>
        <w:t>пременопаузы</w:t>
      </w:r>
      <w:proofErr w:type="spellEnd"/>
    </w:p>
    <w:p w14:paraId="17B182A5" w14:textId="1AF807F9" w:rsidR="002D7009" w:rsidRDefault="002D7009"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2D7009">
        <w:rPr>
          <w:rFonts w:ascii="Times New Roman" w:eastAsia="Times New Roman" w:hAnsi="Times New Roman" w:cs="Times New Roman"/>
          <w:snapToGrid w:val="0"/>
          <w:sz w:val="24"/>
          <w:szCs w:val="24"/>
          <w:lang w:eastAsia="ru-RU"/>
        </w:rPr>
        <w:t>- беременность и период лактации</w:t>
      </w:r>
    </w:p>
    <w:p w14:paraId="3856A842" w14:textId="31A78F93" w:rsidR="001B2A98" w:rsidRPr="002D7009" w:rsidRDefault="001B2A98"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 xml:space="preserve">- лицам с наследственной непереносимостью галактозы, дефицитом фермента </w:t>
      </w:r>
      <w:r>
        <w:rPr>
          <w:rFonts w:ascii="Times New Roman" w:eastAsia="Times New Roman" w:hAnsi="Times New Roman" w:cs="Times New Roman"/>
          <w:snapToGrid w:val="0"/>
          <w:sz w:val="24"/>
          <w:szCs w:val="24"/>
          <w:lang w:val="en-US" w:eastAsia="ru-RU"/>
        </w:rPr>
        <w:t>Lapp</w:t>
      </w:r>
      <w:r w:rsidRPr="000924CA">
        <w:rPr>
          <w:rFonts w:ascii="Times New Roman" w:eastAsia="Times New Roman" w:hAnsi="Times New Roman" w:cs="Times New Roman"/>
          <w:snapToGrid w:val="0"/>
          <w:sz w:val="24"/>
          <w:szCs w:val="24"/>
          <w:lang w:eastAsia="ru-RU"/>
        </w:rPr>
        <w:t xml:space="preserve"> </w:t>
      </w:r>
      <w:r>
        <w:rPr>
          <w:rFonts w:ascii="Times New Roman" w:eastAsia="Times New Roman" w:hAnsi="Times New Roman" w:cs="Times New Roman"/>
          <w:snapToGrid w:val="0"/>
          <w:sz w:val="24"/>
          <w:szCs w:val="24"/>
          <w:lang w:eastAsia="ru-RU"/>
        </w:rPr>
        <w:t>(ЛАПП)-</w:t>
      </w:r>
      <w:proofErr w:type="spellStart"/>
      <w:r>
        <w:rPr>
          <w:rFonts w:ascii="Times New Roman" w:eastAsia="Times New Roman" w:hAnsi="Times New Roman" w:cs="Times New Roman"/>
          <w:snapToGrid w:val="0"/>
          <w:sz w:val="24"/>
          <w:szCs w:val="24"/>
          <w:lang w:eastAsia="ru-RU"/>
        </w:rPr>
        <w:t>лактазы</w:t>
      </w:r>
      <w:proofErr w:type="spellEnd"/>
      <w:r>
        <w:rPr>
          <w:rFonts w:ascii="Times New Roman" w:eastAsia="Times New Roman" w:hAnsi="Times New Roman" w:cs="Times New Roman"/>
          <w:snapToGrid w:val="0"/>
          <w:sz w:val="24"/>
          <w:szCs w:val="24"/>
          <w:lang w:eastAsia="ru-RU"/>
        </w:rPr>
        <w:t xml:space="preserve">, </w:t>
      </w:r>
      <w:proofErr w:type="spellStart"/>
      <w:r>
        <w:rPr>
          <w:rFonts w:ascii="Times New Roman" w:eastAsia="Times New Roman" w:hAnsi="Times New Roman" w:cs="Times New Roman"/>
          <w:snapToGrid w:val="0"/>
          <w:sz w:val="24"/>
          <w:szCs w:val="24"/>
          <w:lang w:eastAsia="ru-RU"/>
        </w:rPr>
        <w:t>мальабсорбцией</w:t>
      </w:r>
      <w:proofErr w:type="spellEnd"/>
      <w:r>
        <w:rPr>
          <w:rFonts w:ascii="Times New Roman" w:eastAsia="Times New Roman" w:hAnsi="Times New Roman" w:cs="Times New Roman"/>
          <w:snapToGrid w:val="0"/>
          <w:sz w:val="24"/>
          <w:szCs w:val="24"/>
          <w:lang w:eastAsia="ru-RU"/>
        </w:rPr>
        <w:t xml:space="preserve"> глюкозы-галактозы</w:t>
      </w:r>
    </w:p>
    <w:p w14:paraId="0FEDB834" w14:textId="7EA03C19" w:rsidR="002D7009" w:rsidRPr="002D7009" w:rsidRDefault="002D7009" w:rsidP="00F602A1">
      <w:pPr>
        <w:keepNext/>
        <w:autoSpaceDE w:val="0"/>
        <w:autoSpaceDN w:val="0"/>
        <w:adjustRightInd w:val="0"/>
        <w:spacing w:after="0" w:line="240" w:lineRule="auto"/>
        <w:ind w:right="283"/>
        <w:jc w:val="both"/>
        <w:outlineLvl w:val="3"/>
        <w:rPr>
          <w:rFonts w:ascii="Times New Roman" w:eastAsia="Times New Roman" w:hAnsi="Times New Roman" w:cs="Times New Roman"/>
          <w:snapToGrid w:val="0"/>
          <w:sz w:val="24"/>
          <w:szCs w:val="24"/>
          <w:u w:val="single"/>
          <w:lang w:eastAsia="ru-RU"/>
        </w:rPr>
      </w:pPr>
    </w:p>
    <w:p w14:paraId="30FBD902" w14:textId="77777777" w:rsidR="009F7D92" w:rsidRPr="00CD2B58" w:rsidRDefault="009F7D92" w:rsidP="00F602A1">
      <w:pPr>
        <w:spacing w:after="0" w:line="240" w:lineRule="auto"/>
        <w:ind w:right="283"/>
        <w:jc w:val="both"/>
        <w:rPr>
          <w:rFonts w:ascii="Times New Roman" w:hAnsi="Times New Roman" w:cs="Times New Roman"/>
          <w:b/>
          <w:sz w:val="24"/>
          <w:szCs w:val="24"/>
        </w:rPr>
      </w:pPr>
      <w:r w:rsidRPr="00CD2B58">
        <w:rPr>
          <w:rFonts w:ascii="Times New Roman" w:hAnsi="Times New Roman" w:cs="Times New Roman"/>
          <w:b/>
          <w:sz w:val="24"/>
          <w:szCs w:val="24"/>
        </w:rPr>
        <w:t> 4.4. Особые указания и меры предосторожности при применении.</w:t>
      </w:r>
    </w:p>
    <w:p w14:paraId="0C8638F7" w14:textId="77777777" w:rsidR="002F7934" w:rsidRPr="002F7934" w:rsidRDefault="002F7934"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2F7934">
        <w:rPr>
          <w:rFonts w:ascii="Times New Roman" w:eastAsia="Times New Roman" w:hAnsi="Times New Roman" w:cs="Times New Roman"/>
          <w:i/>
          <w:iCs/>
          <w:snapToGrid w:val="0"/>
          <w:sz w:val="24"/>
          <w:szCs w:val="24"/>
          <w:lang w:eastAsia="ru-RU"/>
        </w:rPr>
        <w:t>Статус менопаузы</w:t>
      </w:r>
      <w:r w:rsidRPr="002F7934">
        <w:rPr>
          <w:rFonts w:ascii="Times New Roman" w:eastAsia="Times New Roman" w:hAnsi="Times New Roman" w:cs="Times New Roman"/>
          <w:snapToGrid w:val="0"/>
          <w:sz w:val="24"/>
          <w:szCs w:val="24"/>
          <w:lang w:eastAsia="ru-RU"/>
        </w:rPr>
        <w:t xml:space="preserve"> </w:t>
      </w:r>
    </w:p>
    <w:p w14:paraId="144416C7" w14:textId="1F1FA003" w:rsidR="002F7934" w:rsidRPr="002F7934" w:rsidRDefault="002F7934"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2F7934">
        <w:rPr>
          <w:rFonts w:ascii="Times New Roman" w:eastAsia="Times New Roman" w:hAnsi="Times New Roman" w:cs="Times New Roman"/>
          <w:snapToGrid w:val="0"/>
          <w:sz w:val="24"/>
          <w:szCs w:val="24"/>
          <w:lang w:eastAsia="ru-RU"/>
        </w:rPr>
        <w:t xml:space="preserve">У пациенток с невыясненным статусом постменопаузы следует определить уровни ЛГ, ФСГ и/или эстрадиола до начала лечения с целью точного установления статуса менопаузы. </w:t>
      </w:r>
      <w:bookmarkStart w:id="4" w:name="_Hlk56074237"/>
      <w:proofErr w:type="spellStart"/>
      <w:r>
        <w:rPr>
          <w:rFonts w:ascii="Times New Roman" w:eastAsia="Times New Roman" w:hAnsi="Times New Roman" w:cs="Times New Roman"/>
          <w:snapToGrid w:val="0"/>
          <w:sz w:val="24"/>
          <w:szCs w:val="24"/>
          <w:lang w:eastAsia="ru-RU"/>
        </w:rPr>
        <w:t>Летродэй</w:t>
      </w:r>
      <w:bookmarkEnd w:id="4"/>
      <w:proofErr w:type="spellEnd"/>
      <w:r w:rsidRPr="002F7934">
        <w:rPr>
          <w:rFonts w:ascii="Times New Roman" w:eastAsia="Times New Roman" w:hAnsi="Times New Roman" w:cs="Times New Roman"/>
          <w:snapToGrid w:val="0"/>
          <w:sz w:val="24"/>
          <w:szCs w:val="24"/>
          <w:lang w:eastAsia="ru-RU"/>
        </w:rPr>
        <w:t xml:space="preserve"> может назначаться только пациенткам с эндокринным статусом постменопаузы.</w:t>
      </w:r>
    </w:p>
    <w:p w14:paraId="132A88DE" w14:textId="77777777" w:rsidR="002F7934" w:rsidRPr="002F7934" w:rsidRDefault="002F7934" w:rsidP="00F602A1">
      <w:pPr>
        <w:spacing w:after="0" w:line="240" w:lineRule="auto"/>
        <w:ind w:right="283"/>
        <w:jc w:val="both"/>
        <w:rPr>
          <w:rFonts w:ascii="Times New Roman" w:eastAsia="Times New Roman" w:hAnsi="Times New Roman" w:cs="Times New Roman"/>
          <w:snapToGrid w:val="0"/>
          <w:sz w:val="24"/>
          <w:szCs w:val="24"/>
          <w:lang w:eastAsia="ru-RU"/>
        </w:rPr>
      </w:pPr>
      <w:r w:rsidRPr="002F7934">
        <w:rPr>
          <w:rFonts w:ascii="Times New Roman" w:eastAsia="Times New Roman" w:hAnsi="Times New Roman" w:cs="Times New Roman"/>
          <w:i/>
          <w:iCs/>
          <w:snapToGrid w:val="0"/>
          <w:sz w:val="24"/>
          <w:szCs w:val="24"/>
          <w:lang w:eastAsia="ru-RU"/>
        </w:rPr>
        <w:t>Нарушение функции почек</w:t>
      </w:r>
      <w:r w:rsidRPr="002F7934">
        <w:rPr>
          <w:rFonts w:ascii="Times New Roman" w:eastAsia="Times New Roman" w:hAnsi="Times New Roman" w:cs="Times New Roman"/>
          <w:snapToGrid w:val="0"/>
          <w:sz w:val="24"/>
          <w:szCs w:val="24"/>
          <w:lang w:eastAsia="ru-RU"/>
        </w:rPr>
        <w:t xml:space="preserve"> </w:t>
      </w:r>
    </w:p>
    <w:p w14:paraId="61D16571" w14:textId="4D688C2D" w:rsidR="002F7934" w:rsidRPr="002F7934" w:rsidRDefault="002F7934" w:rsidP="00F602A1">
      <w:pPr>
        <w:spacing w:after="0" w:line="240" w:lineRule="auto"/>
        <w:ind w:right="283"/>
        <w:jc w:val="both"/>
        <w:rPr>
          <w:rFonts w:ascii="Times New Roman" w:eastAsia="Times New Roman" w:hAnsi="Times New Roman" w:cs="Times New Roman"/>
          <w:snapToGrid w:val="0"/>
          <w:sz w:val="24"/>
          <w:szCs w:val="24"/>
          <w:lang w:eastAsia="ru-RU"/>
        </w:rPr>
      </w:pPr>
      <w:proofErr w:type="spellStart"/>
      <w:r>
        <w:rPr>
          <w:rFonts w:ascii="Times New Roman" w:eastAsia="Times New Roman" w:hAnsi="Times New Roman" w:cs="Times New Roman"/>
          <w:snapToGrid w:val="0"/>
          <w:sz w:val="24"/>
          <w:szCs w:val="24"/>
          <w:lang w:eastAsia="ru-RU"/>
        </w:rPr>
        <w:lastRenderedPageBreak/>
        <w:t>Летродэй</w:t>
      </w:r>
      <w:proofErr w:type="spellEnd"/>
      <w:r w:rsidRPr="002F7934">
        <w:rPr>
          <w:rFonts w:ascii="Times New Roman" w:eastAsia="Times New Roman" w:hAnsi="Times New Roman" w:cs="Times New Roman"/>
          <w:snapToGrid w:val="0"/>
          <w:sz w:val="24"/>
          <w:szCs w:val="24"/>
          <w:lang w:eastAsia="ru-RU"/>
        </w:rPr>
        <w:t xml:space="preserve"> не был исследован у достаточного числа пациенток с клиренсом креатинина ниже 10 мл/мин. У таких пациенток следует тщательно </w:t>
      </w:r>
      <w:proofErr w:type="spellStart"/>
      <w:r w:rsidRPr="002F7934">
        <w:rPr>
          <w:rFonts w:ascii="Times New Roman" w:eastAsia="Times New Roman" w:hAnsi="Times New Roman" w:cs="Times New Roman"/>
          <w:snapToGrid w:val="0"/>
          <w:sz w:val="24"/>
          <w:szCs w:val="24"/>
          <w:lang w:eastAsia="ru-RU"/>
        </w:rPr>
        <w:t>взвеcить</w:t>
      </w:r>
      <w:proofErr w:type="spellEnd"/>
      <w:r w:rsidRPr="002F7934">
        <w:rPr>
          <w:rFonts w:ascii="Times New Roman" w:eastAsia="Times New Roman" w:hAnsi="Times New Roman" w:cs="Times New Roman"/>
          <w:snapToGrid w:val="0"/>
          <w:sz w:val="24"/>
          <w:szCs w:val="24"/>
          <w:lang w:eastAsia="ru-RU"/>
        </w:rPr>
        <w:t xml:space="preserve"> соотношение между потенциальным риском и ожидаемым эффектом лечения. </w:t>
      </w:r>
    </w:p>
    <w:p w14:paraId="392D941E" w14:textId="77777777" w:rsidR="002F7934" w:rsidRPr="002F7934" w:rsidRDefault="002F7934" w:rsidP="00F602A1">
      <w:pPr>
        <w:spacing w:after="0" w:line="240" w:lineRule="auto"/>
        <w:ind w:right="283"/>
        <w:jc w:val="both"/>
        <w:rPr>
          <w:rFonts w:ascii="Times New Roman" w:eastAsia="Times New Roman" w:hAnsi="Times New Roman" w:cs="Times New Roman"/>
          <w:snapToGrid w:val="0"/>
          <w:sz w:val="24"/>
          <w:szCs w:val="24"/>
          <w:lang w:eastAsia="ru-RU"/>
        </w:rPr>
      </w:pPr>
      <w:r w:rsidRPr="002F7934">
        <w:rPr>
          <w:rFonts w:ascii="Times New Roman" w:eastAsia="Times New Roman" w:hAnsi="Times New Roman" w:cs="Times New Roman"/>
          <w:i/>
          <w:iCs/>
          <w:snapToGrid w:val="0"/>
          <w:sz w:val="24"/>
          <w:szCs w:val="24"/>
          <w:lang w:eastAsia="ru-RU"/>
        </w:rPr>
        <w:t>Нарушение функции печени</w:t>
      </w:r>
      <w:r w:rsidRPr="002F7934">
        <w:rPr>
          <w:rFonts w:ascii="Times New Roman" w:eastAsia="Times New Roman" w:hAnsi="Times New Roman" w:cs="Times New Roman"/>
          <w:snapToGrid w:val="0"/>
          <w:sz w:val="24"/>
          <w:szCs w:val="24"/>
          <w:lang w:eastAsia="ru-RU"/>
        </w:rPr>
        <w:t xml:space="preserve"> </w:t>
      </w:r>
    </w:p>
    <w:p w14:paraId="2498043D" w14:textId="11568711" w:rsidR="002F7934" w:rsidRPr="002F7934" w:rsidRDefault="002F7934" w:rsidP="00F602A1">
      <w:pPr>
        <w:spacing w:after="0" w:line="240" w:lineRule="auto"/>
        <w:ind w:right="283"/>
        <w:jc w:val="both"/>
        <w:rPr>
          <w:rFonts w:ascii="Times New Roman" w:eastAsia="Times New Roman" w:hAnsi="Times New Roman" w:cs="Times New Roman"/>
          <w:snapToGrid w:val="0"/>
          <w:sz w:val="24"/>
          <w:szCs w:val="24"/>
          <w:lang w:eastAsia="ru-RU"/>
        </w:rPr>
      </w:pPr>
      <w:r w:rsidRPr="002F7934">
        <w:rPr>
          <w:rFonts w:ascii="Times New Roman" w:eastAsia="Times New Roman" w:hAnsi="Times New Roman" w:cs="Times New Roman"/>
          <w:snapToGrid w:val="0"/>
          <w:sz w:val="24"/>
          <w:szCs w:val="24"/>
          <w:lang w:eastAsia="ru-RU"/>
        </w:rPr>
        <w:t xml:space="preserve">У пациентов с тяжелой печеночной недостаточностью (цирроз печени и класс С по </w:t>
      </w:r>
      <w:proofErr w:type="spellStart"/>
      <w:r w:rsidRPr="002F7934">
        <w:rPr>
          <w:rFonts w:ascii="Times New Roman" w:eastAsia="Times New Roman" w:hAnsi="Times New Roman" w:cs="Times New Roman"/>
          <w:snapToGrid w:val="0"/>
          <w:sz w:val="24"/>
          <w:szCs w:val="24"/>
          <w:lang w:eastAsia="ru-RU"/>
        </w:rPr>
        <w:t>Child-Pugh</w:t>
      </w:r>
      <w:proofErr w:type="spellEnd"/>
      <w:r w:rsidRPr="002F7934">
        <w:rPr>
          <w:rFonts w:ascii="Times New Roman" w:eastAsia="Times New Roman" w:hAnsi="Times New Roman" w:cs="Times New Roman"/>
          <w:snapToGrid w:val="0"/>
          <w:sz w:val="24"/>
          <w:szCs w:val="24"/>
          <w:lang w:eastAsia="ru-RU"/>
        </w:rPr>
        <w:t xml:space="preserve">) системная экспозиция и конечный период полувыведения </w:t>
      </w:r>
      <w:proofErr w:type="spellStart"/>
      <w:r w:rsidRPr="002F7934">
        <w:rPr>
          <w:rFonts w:ascii="Times New Roman" w:eastAsia="Times New Roman" w:hAnsi="Times New Roman" w:cs="Times New Roman"/>
          <w:snapToGrid w:val="0"/>
          <w:sz w:val="24"/>
          <w:szCs w:val="24"/>
          <w:lang w:eastAsia="ru-RU"/>
        </w:rPr>
        <w:t>летрозола</w:t>
      </w:r>
      <w:proofErr w:type="spellEnd"/>
      <w:r w:rsidRPr="002F7934">
        <w:rPr>
          <w:rFonts w:ascii="Times New Roman" w:eastAsia="Times New Roman" w:hAnsi="Times New Roman" w:cs="Times New Roman"/>
          <w:snapToGrid w:val="0"/>
          <w:sz w:val="24"/>
          <w:szCs w:val="24"/>
          <w:lang w:eastAsia="ru-RU"/>
        </w:rPr>
        <w:t xml:space="preserve"> приблизительно в 2 раза дольше, чем у здорового человека. Поэтому, у этих пациентов </w:t>
      </w:r>
      <w:proofErr w:type="spellStart"/>
      <w:r>
        <w:rPr>
          <w:rFonts w:ascii="Times New Roman" w:eastAsia="Times New Roman" w:hAnsi="Times New Roman" w:cs="Times New Roman"/>
          <w:snapToGrid w:val="0"/>
          <w:sz w:val="24"/>
          <w:szCs w:val="24"/>
          <w:lang w:eastAsia="ru-RU"/>
        </w:rPr>
        <w:t>Летродэй</w:t>
      </w:r>
      <w:proofErr w:type="spellEnd"/>
      <w:r w:rsidRPr="002F7934">
        <w:rPr>
          <w:rFonts w:ascii="Times New Roman" w:eastAsia="Times New Roman" w:hAnsi="Times New Roman" w:cs="Times New Roman"/>
          <w:snapToGrid w:val="0"/>
          <w:sz w:val="24"/>
          <w:szCs w:val="24"/>
          <w:lang w:eastAsia="ru-RU"/>
        </w:rPr>
        <w:t xml:space="preserve"> следует применять с осторожностью и после тщательной оценки соотношения риска/пользы.</w:t>
      </w:r>
    </w:p>
    <w:p w14:paraId="76E75A9E" w14:textId="77777777" w:rsidR="002F7934" w:rsidRPr="002F7934" w:rsidRDefault="002F7934"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2F7934">
        <w:rPr>
          <w:rFonts w:ascii="Times New Roman" w:eastAsia="Times New Roman" w:hAnsi="Times New Roman" w:cs="Times New Roman"/>
          <w:i/>
          <w:iCs/>
          <w:snapToGrid w:val="0"/>
          <w:sz w:val="24"/>
          <w:szCs w:val="24"/>
          <w:lang w:eastAsia="ru-RU"/>
        </w:rPr>
        <w:t>Влияние на костную ткань</w:t>
      </w:r>
      <w:r w:rsidRPr="002F7934">
        <w:rPr>
          <w:rFonts w:ascii="Times New Roman" w:eastAsia="Times New Roman" w:hAnsi="Times New Roman" w:cs="Times New Roman"/>
          <w:snapToGrid w:val="0"/>
          <w:sz w:val="24"/>
          <w:szCs w:val="24"/>
          <w:lang w:eastAsia="ru-RU"/>
        </w:rPr>
        <w:t xml:space="preserve"> </w:t>
      </w:r>
    </w:p>
    <w:p w14:paraId="248C6406" w14:textId="339D7D37" w:rsidR="002F7934" w:rsidRPr="002F7934" w:rsidRDefault="002F7934"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proofErr w:type="spellStart"/>
      <w:r>
        <w:rPr>
          <w:rFonts w:ascii="Times New Roman" w:eastAsia="Times New Roman" w:hAnsi="Times New Roman" w:cs="Times New Roman"/>
          <w:snapToGrid w:val="0"/>
          <w:sz w:val="24"/>
          <w:szCs w:val="24"/>
          <w:lang w:eastAsia="ru-RU"/>
        </w:rPr>
        <w:t>Летродэй</w:t>
      </w:r>
      <w:proofErr w:type="spellEnd"/>
      <w:r w:rsidRPr="002F7934">
        <w:rPr>
          <w:rFonts w:ascii="Times New Roman" w:eastAsia="Times New Roman" w:hAnsi="Times New Roman" w:cs="Times New Roman"/>
          <w:snapToGrid w:val="0"/>
          <w:sz w:val="24"/>
          <w:szCs w:val="24"/>
          <w:lang w:eastAsia="ru-RU"/>
        </w:rPr>
        <w:t xml:space="preserve"> является сильным препаратом, снижающим уровень эстрогенов. Женщинам с остеопорозом и/или переломами в анамнезе или имеющим повышенный риск остеопороза необходима точная оценка минеральной плотности костей путем костной денситометрии до начала </w:t>
      </w:r>
      <w:proofErr w:type="spellStart"/>
      <w:r w:rsidRPr="002F7934">
        <w:rPr>
          <w:rFonts w:ascii="Times New Roman" w:eastAsia="Times New Roman" w:hAnsi="Times New Roman" w:cs="Times New Roman"/>
          <w:snapToGrid w:val="0"/>
          <w:sz w:val="24"/>
          <w:szCs w:val="24"/>
          <w:lang w:eastAsia="ru-RU"/>
        </w:rPr>
        <w:t>адъювантной</w:t>
      </w:r>
      <w:proofErr w:type="spellEnd"/>
      <w:r w:rsidRPr="002F7934">
        <w:rPr>
          <w:rFonts w:ascii="Times New Roman" w:eastAsia="Times New Roman" w:hAnsi="Times New Roman" w:cs="Times New Roman"/>
          <w:snapToGrid w:val="0"/>
          <w:sz w:val="24"/>
          <w:szCs w:val="24"/>
          <w:lang w:eastAsia="ru-RU"/>
        </w:rPr>
        <w:t xml:space="preserve"> или длительной </w:t>
      </w:r>
      <w:proofErr w:type="spellStart"/>
      <w:r w:rsidRPr="002F7934">
        <w:rPr>
          <w:rFonts w:ascii="Times New Roman" w:eastAsia="Times New Roman" w:hAnsi="Times New Roman" w:cs="Times New Roman"/>
          <w:snapToGrid w:val="0"/>
          <w:sz w:val="24"/>
          <w:szCs w:val="24"/>
          <w:lang w:eastAsia="ru-RU"/>
        </w:rPr>
        <w:t>адъювантной</w:t>
      </w:r>
      <w:proofErr w:type="spellEnd"/>
      <w:r w:rsidRPr="002F7934">
        <w:rPr>
          <w:rFonts w:ascii="Times New Roman" w:eastAsia="Times New Roman" w:hAnsi="Times New Roman" w:cs="Times New Roman"/>
          <w:snapToGrid w:val="0"/>
          <w:sz w:val="24"/>
          <w:szCs w:val="24"/>
          <w:lang w:eastAsia="ru-RU"/>
        </w:rPr>
        <w:t xml:space="preserve"> терапии. Следует следить за развитием остеопороза во время и после приема препарата </w:t>
      </w:r>
      <w:proofErr w:type="spellStart"/>
      <w:r>
        <w:rPr>
          <w:rFonts w:ascii="Times New Roman" w:eastAsia="Times New Roman" w:hAnsi="Times New Roman" w:cs="Times New Roman"/>
          <w:snapToGrid w:val="0"/>
          <w:sz w:val="24"/>
          <w:szCs w:val="24"/>
          <w:lang w:eastAsia="ru-RU"/>
        </w:rPr>
        <w:t>Летродэй</w:t>
      </w:r>
      <w:proofErr w:type="spellEnd"/>
      <w:r w:rsidRPr="002F7934">
        <w:rPr>
          <w:rFonts w:ascii="Times New Roman" w:eastAsia="Times New Roman" w:hAnsi="Times New Roman" w:cs="Times New Roman"/>
          <w:snapToGrid w:val="0"/>
          <w:sz w:val="24"/>
          <w:szCs w:val="24"/>
          <w:lang w:eastAsia="ru-RU"/>
        </w:rPr>
        <w:t xml:space="preserve">. При </w:t>
      </w:r>
      <w:proofErr w:type="spellStart"/>
      <w:r w:rsidRPr="002F7934">
        <w:rPr>
          <w:rFonts w:ascii="Times New Roman" w:eastAsia="Times New Roman" w:hAnsi="Times New Roman" w:cs="Times New Roman"/>
          <w:snapToGrid w:val="0"/>
          <w:sz w:val="24"/>
          <w:szCs w:val="24"/>
          <w:lang w:eastAsia="ru-RU"/>
        </w:rPr>
        <w:t>адъювантном</w:t>
      </w:r>
      <w:proofErr w:type="spellEnd"/>
      <w:r w:rsidRPr="002F7934">
        <w:rPr>
          <w:rFonts w:ascii="Times New Roman" w:eastAsia="Times New Roman" w:hAnsi="Times New Roman" w:cs="Times New Roman"/>
          <w:snapToGrid w:val="0"/>
          <w:sz w:val="24"/>
          <w:szCs w:val="24"/>
          <w:lang w:eastAsia="ru-RU"/>
        </w:rPr>
        <w:t xml:space="preserve"> лечении можно рассмотреть возможность применения последовательной схемы лечения (2 года </w:t>
      </w:r>
      <w:proofErr w:type="spellStart"/>
      <w:r w:rsidRPr="002F7934">
        <w:rPr>
          <w:rFonts w:ascii="Times New Roman" w:eastAsia="Times New Roman" w:hAnsi="Times New Roman" w:cs="Times New Roman"/>
          <w:snapToGrid w:val="0"/>
          <w:sz w:val="24"/>
          <w:szCs w:val="24"/>
          <w:lang w:eastAsia="ru-RU"/>
        </w:rPr>
        <w:t>летрозол</w:t>
      </w:r>
      <w:proofErr w:type="spellEnd"/>
      <w:r w:rsidRPr="002F7934">
        <w:rPr>
          <w:rFonts w:ascii="Times New Roman" w:eastAsia="Times New Roman" w:hAnsi="Times New Roman" w:cs="Times New Roman"/>
          <w:snapToGrid w:val="0"/>
          <w:sz w:val="24"/>
          <w:szCs w:val="24"/>
          <w:lang w:eastAsia="ru-RU"/>
        </w:rPr>
        <w:t>, после чего 3 года тамоксифен), в зависимости от профиля безопасности у пациента.</w:t>
      </w:r>
    </w:p>
    <w:p w14:paraId="38E60123" w14:textId="77777777" w:rsidR="002F7934" w:rsidRPr="002F7934" w:rsidRDefault="002F7934" w:rsidP="00F602A1">
      <w:pPr>
        <w:autoSpaceDE w:val="0"/>
        <w:autoSpaceDN w:val="0"/>
        <w:adjustRightInd w:val="0"/>
        <w:spacing w:after="0" w:line="240" w:lineRule="auto"/>
        <w:ind w:right="283"/>
        <w:jc w:val="both"/>
        <w:rPr>
          <w:rFonts w:ascii="Times New Roman" w:eastAsia="Times New Roman" w:hAnsi="Times New Roman" w:cs="Times New Roman"/>
          <w:i/>
          <w:iCs/>
          <w:snapToGrid w:val="0"/>
          <w:sz w:val="24"/>
          <w:szCs w:val="24"/>
          <w:lang w:eastAsia="ru-RU"/>
        </w:rPr>
      </w:pPr>
      <w:proofErr w:type="spellStart"/>
      <w:r w:rsidRPr="002F7934">
        <w:rPr>
          <w:rFonts w:ascii="Times New Roman" w:eastAsia="Times New Roman" w:hAnsi="Times New Roman" w:cs="Times New Roman"/>
          <w:i/>
          <w:iCs/>
          <w:snapToGrid w:val="0"/>
          <w:sz w:val="24"/>
          <w:szCs w:val="24"/>
          <w:lang w:eastAsia="ru-RU"/>
        </w:rPr>
        <w:t>Тендинит</w:t>
      </w:r>
      <w:proofErr w:type="spellEnd"/>
      <w:r w:rsidRPr="002F7934">
        <w:rPr>
          <w:rFonts w:ascii="Times New Roman" w:eastAsia="Times New Roman" w:hAnsi="Times New Roman" w:cs="Times New Roman"/>
          <w:i/>
          <w:iCs/>
          <w:snapToGrid w:val="0"/>
          <w:sz w:val="24"/>
          <w:szCs w:val="24"/>
          <w:lang w:eastAsia="ru-RU"/>
        </w:rPr>
        <w:t xml:space="preserve"> и разрыв сухожилий</w:t>
      </w:r>
    </w:p>
    <w:p w14:paraId="6AC67613" w14:textId="77777777" w:rsidR="002F7934" w:rsidRPr="002F7934" w:rsidRDefault="002F7934"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2F7934">
        <w:rPr>
          <w:rFonts w:ascii="Times New Roman" w:eastAsia="Times New Roman" w:hAnsi="Times New Roman" w:cs="Times New Roman"/>
          <w:snapToGrid w:val="0"/>
          <w:sz w:val="24"/>
          <w:szCs w:val="24"/>
          <w:lang w:eastAsia="ru-RU"/>
        </w:rPr>
        <w:t xml:space="preserve">В редких случаях поступали сообщения о развитии </w:t>
      </w:r>
      <w:proofErr w:type="spellStart"/>
      <w:r w:rsidRPr="002F7934">
        <w:rPr>
          <w:rFonts w:ascii="Times New Roman" w:eastAsia="Times New Roman" w:hAnsi="Times New Roman" w:cs="Times New Roman"/>
          <w:snapToGrid w:val="0"/>
          <w:sz w:val="24"/>
          <w:szCs w:val="24"/>
          <w:lang w:eastAsia="ru-RU"/>
        </w:rPr>
        <w:t>тендинита</w:t>
      </w:r>
      <w:proofErr w:type="spellEnd"/>
      <w:r w:rsidRPr="002F7934">
        <w:rPr>
          <w:rFonts w:ascii="Times New Roman" w:eastAsia="Times New Roman" w:hAnsi="Times New Roman" w:cs="Times New Roman"/>
          <w:snapToGrid w:val="0"/>
          <w:sz w:val="24"/>
          <w:szCs w:val="24"/>
          <w:lang w:eastAsia="ru-RU"/>
        </w:rPr>
        <w:t xml:space="preserve"> и разрыва сухожилий. Пациентам необходим мониторинг, а при поражении сухожилий следует принять соответствующие меры (например, иммобилизация).</w:t>
      </w:r>
    </w:p>
    <w:p w14:paraId="5AACB95A" w14:textId="77777777" w:rsidR="002F7934" w:rsidRPr="002F7934" w:rsidRDefault="002F7934" w:rsidP="00F602A1">
      <w:pPr>
        <w:autoSpaceDE w:val="0"/>
        <w:autoSpaceDN w:val="0"/>
        <w:adjustRightInd w:val="0"/>
        <w:spacing w:after="0" w:line="240" w:lineRule="auto"/>
        <w:ind w:right="283"/>
        <w:jc w:val="both"/>
        <w:rPr>
          <w:rFonts w:ascii="Times New Roman" w:eastAsia="Times New Roman" w:hAnsi="Times New Roman" w:cs="Times New Roman"/>
          <w:i/>
          <w:iCs/>
          <w:snapToGrid w:val="0"/>
          <w:sz w:val="24"/>
          <w:szCs w:val="24"/>
          <w:lang w:eastAsia="ru-RU"/>
        </w:rPr>
      </w:pPr>
      <w:r w:rsidRPr="002F7934">
        <w:rPr>
          <w:rFonts w:ascii="Times New Roman" w:eastAsia="Times New Roman" w:hAnsi="Times New Roman" w:cs="Times New Roman"/>
          <w:i/>
          <w:iCs/>
          <w:snapToGrid w:val="0"/>
          <w:sz w:val="24"/>
          <w:szCs w:val="24"/>
          <w:lang w:eastAsia="ru-RU"/>
        </w:rPr>
        <w:t>Другие меры предосторожности</w:t>
      </w:r>
    </w:p>
    <w:p w14:paraId="2F4F94AD" w14:textId="20164226" w:rsidR="002F7934" w:rsidRPr="002F7934" w:rsidRDefault="002F7934"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2F7934">
        <w:rPr>
          <w:rFonts w:ascii="Times New Roman" w:eastAsia="Times New Roman" w:hAnsi="Times New Roman" w:cs="Times New Roman"/>
          <w:snapToGrid w:val="0"/>
          <w:sz w:val="24"/>
          <w:szCs w:val="24"/>
          <w:lang w:eastAsia="ru-RU"/>
        </w:rPr>
        <w:t xml:space="preserve">Следует избегать комбинации препарата </w:t>
      </w:r>
      <w:proofErr w:type="spellStart"/>
      <w:r>
        <w:rPr>
          <w:rFonts w:ascii="Times New Roman" w:eastAsia="Times New Roman" w:hAnsi="Times New Roman" w:cs="Times New Roman"/>
          <w:snapToGrid w:val="0"/>
          <w:sz w:val="24"/>
          <w:szCs w:val="24"/>
          <w:lang w:eastAsia="ru-RU"/>
        </w:rPr>
        <w:t>Летродэй</w:t>
      </w:r>
      <w:proofErr w:type="spellEnd"/>
      <w:r w:rsidRPr="002F7934">
        <w:rPr>
          <w:rFonts w:ascii="Times New Roman" w:eastAsia="Times New Roman" w:hAnsi="Times New Roman" w:cs="Times New Roman"/>
          <w:snapToGrid w:val="0"/>
          <w:sz w:val="24"/>
          <w:szCs w:val="24"/>
          <w:lang w:eastAsia="ru-RU"/>
        </w:rPr>
        <w:t xml:space="preserve"> с тамоксифеном, другими анти-эстрогенами или эстроген-содержащими препаратами, так как эти препараты могут понизить фармакологическую активность </w:t>
      </w:r>
      <w:proofErr w:type="spellStart"/>
      <w:r w:rsidRPr="002F7934">
        <w:rPr>
          <w:rFonts w:ascii="Times New Roman" w:eastAsia="Times New Roman" w:hAnsi="Times New Roman" w:cs="Times New Roman"/>
          <w:snapToGrid w:val="0"/>
          <w:sz w:val="24"/>
          <w:szCs w:val="24"/>
          <w:lang w:eastAsia="ru-RU"/>
        </w:rPr>
        <w:t>летрозола</w:t>
      </w:r>
      <w:proofErr w:type="spellEnd"/>
      <w:r w:rsidRPr="002F7934">
        <w:rPr>
          <w:rFonts w:ascii="Times New Roman" w:eastAsia="Times New Roman" w:hAnsi="Times New Roman" w:cs="Times New Roman"/>
          <w:snapToGrid w:val="0"/>
          <w:sz w:val="24"/>
          <w:szCs w:val="24"/>
          <w:lang w:eastAsia="ru-RU"/>
        </w:rPr>
        <w:t xml:space="preserve">. </w:t>
      </w:r>
    </w:p>
    <w:p w14:paraId="1B0788AB" w14:textId="27D9871E" w:rsidR="002F7934" w:rsidRPr="002F7934" w:rsidRDefault="002F7934"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2F7934">
        <w:rPr>
          <w:rFonts w:ascii="Times New Roman" w:eastAsia="Times New Roman" w:hAnsi="Times New Roman" w:cs="Times New Roman"/>
          <w:snapToGrid w:val="0"/>
          <w:sz w:val="24"/>
          <w:szCs w:val="24"/>
          <w:lang w:eastAsia="ru-RU"/>
        </w:rPr>
        <w:t xml:space="preserve">Каждая таблетка препарата </w:t>
      </w:r>
      <w:proofErr w:type="spellStart"/>
      <w:r>
        <w:rPr>
          <w:rFonts w:ascii="Times New Roman" w:eastAsia="Times New Roman" w:hAnsi="Times New Roman" w:cs="Times New Roman"/>
          <w:snapToGrid w:val="0"/>
          <w:sz w:val="24"/>
          <w:szCs w:val="24"/>
          <w:lang w:eastAsia="ru-RU"/>
        </w:rPr>
        <w:t>Летродэй</w:t>
      </w:r>
      <w:proofErr w:type="spellEnd"/>
      <w:r w:rsidRPr="002F7934">
        <w:rPr>
          <w:rFonts w:ascii="Times New Roman" w:eastAsia="Times New Roman" w:hAnsi="Times New Roman" w:cs="Times New Roman"/>
          <w:snapToGrid w:val="0"/>
          <w:sz w:val="24"/>
          <w:szCs w:val="24"/>
          <w:lang w:eastAsia="ru-RU"/>
        </w:rPr>
        <w:t xml:space="preserve"> содержит </w:t>
      </w:r>
      <w:r>
        <w:rPr>
          <w:rFonts w:ascii="Times New Roman" w:eastAsia="Times New Roman" w:hAnsi="Times New Roman" w:cs="Times New Roman"/>
          <w:snapToGrid w:val="0"/>
          <w:sz w:val="24"/>
          <w:szCs w:val="24"/>
          <w:lang w:eastAsia="ru-RU"/>
        </w:rPr>
        <w:t>48</w:t>
      </w:r>
      <w:r w:rsidRPr="002F7934">
        <w:rPr>
          <w:rFonts w:ascii="Times New Roman" w:eastAsia="Times New Roman" w:hAnsi="Times New Roman" w:cs="Times New Roman"/>
          <w:snapToGrid w:val="0"/>
          <w:sz w:val="24"/>
          <w:szCs w:val="24"/>
          <w:lang w:eastAsia="ru-RU"/>
        </w:rPr>
        <w:t>,</w:t>
      </w:r>
      <w:r>
        <w:rPr>
          <w:rFonts w:ascii="Times New Roman" w:eastAsia="Times New Roman" w:hAnsi="Times New Roman" w:cs="Times New Roman"/>
          <w:snapToGrid w:val="0"/>
          <w:sz w:val="24"/>
          <w:szCs w:val="24"/>
          <w:lang w:eastAsia="ru-RU"/>
        </w:rPr>
        <w:t>7</w:t>
      </w:r>
      <w:r w:rsidRPr="002F7934">
        <w:rPr>
          <w:rFonts w:ascii="Times New Roman" w:eastAsia="Times New Roman" w:hAnsi="Times New Roman" w:cs="Times New Roman"/>
          <w:snapToGrid w:val="0"/>
          <w:sz w:val="24"/>
          <w:szCs w:val="24"/>
          <w:lang w:eastAsia="ru-RU"/>
        </w:rPr>
        <w:t xml:space="preserve"> мг лактозы моногидрата. </w:t>
      </w:r>
    </w:p>
    <w:p w14:paraId="0B12B71B" w14:textId="6DF303E4" w:rsidR="002F7934" w:rsidRDefault="002F7934"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2F7934">
        <w:rPr>
          <w:rFonts w:ascii="Times New Roman" w:eastAsia="Times New Roman" w:hAnsi="Times New Roman" w:cs="Times New Roman"/>
          <w:snapToGrid w:val="0"/>
          <w:sz w:val="24"/>
          <w:szCs w:val="24"/>
          <w:lang w:eastAsia="ru-RU"/>
        </w:rPr>
        <w:t xml:space="preserve">Препарат не следует назначать пациенткам с редкими наследственными нарушениями толерантности к галактозе, полным наследственным дефицитом </w:t>
      </w:r>
      <w:proofErr w:type="spellStart"/>
      <w:r w:rsidRPr="002F7934">
        <w:rPr>
          <w:rFonts w:ascii="Times New Roman" w:eastAsia="Times New Roman" w:hAnsi="Times New Roman" w:cs="Times New Roman"/>
          <w:snapToGrid w:val="0"/>
          <w:sz w:val="24"/>
          <w:szCs w:val="24"/>
          <w:lang w:eastAsia="ru-RU"/>
        </w:rPr>
        <w:t>лактазы</w:t>
      </w:r>
      <w:proofErr w:type="spellEnd"/>
      <w:r w:rsidRPr="002F7934">
        <w:rPr>
          <w:rFonts w:ascii="Times New Roman" w:eastAsia="Times New Roman" w:hAnsi="Times New Roman" w:cs="Times New Roman"/>
          <w:snapToGrid w:val="0"/>
          <w:sz w:val="24"/>
          <w:szCs w:val="24"/>
          <w:lang w:eastAsia="ru-RU"/>
        </w:rPr>
        <w:t xml:space="preserve"> или синдромом </w:t>
      </w:r>
      <w:proofErr w:type="spellStart"/>
      <w:r w:rsidRPr="002F7934">
        <w:rPr>
          <w:rFonts w:ascii="Times New Roman" w:eastAsia="Times New Roman" w:hAnsi="Times New Roman" w:cs="Times New Roman"/>
          <w:snapToGrid w:val="0"/>
          <w:sz w:val="24"/>
          <w:szCs w:val="24"/>
          <w:lang w:eastAsia="ru-RU"/>
        </w:rPr>
        <w:t>невсасывания</w:t>
      </w:r>
      <w:proofErr w:type="spellEnd"/>
      <w:r w:rsidRPr="002F7934">
        <w:rPr>
          <w:rFonts w:ascii="Times New Roman" w:eastAsia="Times New Roman" w:hAnsi="Times New Roman" w:cs="Times New Roman"/>
          <w:snapToGrid w:val="0"/>
          <w:sz w:val="24"/>
          <w:szCs w:val="24"/>
          <w:lang w:eastAsia="ru-RU"/>
        </w:rPr>
        <w:t xml:space="preserve"> глюкозы-галактозы. </w:t>
      </w:r>
    </w:p>
    <w:p w14:paraId="6CCFC223" w14:textId="103EF604" w:rsidR="003F3286" w:rsidRDefault="003F3286" w:rsidP="003F3286">
      <w:pPr>
        <w:spacing w:after="0" w:line="240" w:lineRule="auto"/>
        <w:jc w:val="both"/>
        <w:rPr>
          <w:rFonts w:ascii="Times New Roman" w:eastAsia="Times New Roman" w:hAnsi="Times New Roman" w:cs="Times New Roman"/>
          <w:snapToGrid w:val="0"/>
          <w:sz w:val="24"/>
          <w:szCs w:val="24"/>
          <w:lang w:eastAsia="ru-RU"/>
        </w:rPr>
      </w:pPr>
      <w:r w:rsidRPr="003F3286">
        <w:rPr>
          <w:rFonts w:ascii="Times New Roman" w:eastAsia="Times New Roman" w:hAnsi="Times New Roman" w:cs="Times New Roman"/>
          <w:sz w:val="24"/>
          <w:szCs w:val="24"/>
          <w:lang w:eastAsia="ru-RU"/>
        </w:rPr>
        <w:t>Содержания натрия в менее 1 ммоль (23 мг) в разовой дозе, препарат считается свободным от натрия.</w:t>
      </w:r>
    </w:p>
    <w:p w14:paraId="68073603" w14:textId="77777777" w:rsidR="002F7934" w:rsidRPr="002F7934" w:rsidRDefault="002F7934" w:rsidP="00F602A1">
      <w:pPr>
        <w:spacing w:after="0" w:line="240" w:lineRule="auto"/>
        <w:ind w:right="283"/>
        <w:jc w:val="both"/>
        <w:rPr>
          <w:rFonts w:ascii="Times New Roman" w:eastAsia="Times New Roman" w:hAnsi="Times New Roman" w:cs="Times New Roman"/>
          <w:i/>
          <w:snapToGrid w:val="0"/>
          <w:sz w:val="24"/>
          <w:szCs w:val="24"/>
          <w:lang w:eastAsia="ru-RU"/>
        </w:rPr>
      </w:pPr>
    </w:p>
    <w:p w14:paraId="77AFFB8F" w14:textId="77777777" w:rsidR="002F7934" w:rsidRPr="002F7934" w:rsidRDefault="002F7934" w:rsidP="00F602A1">
      <w:pPr>
        <w:spacing w:after="0" w:line="240" w:lineRule="auto"/>
        <w:ind w:right="283"/>
        <w:jc w:val="both"/>
        <w:rPr>
          <w:rFonts w:ascii="Times New Roman" w:eastAsia="Times New Roman" w:hAnsi="Times New Roman" w:cs="Times New Roman"/>
          <w:b/>
          <w:sz w:val="24"/>
          <w:szCs w:val="24"/>
          <w:lang w:eastAsia="ru-RU"/>
        </w:rPr>
      </w:pPr>
      <w:r w:rsidRPr="002F7934">
        <w:rPr>
          <w:rFonts w:ascii="Times New Roman" w:eastAsia="Times New Roman" w:hAnsi="Times New Roman" w:cs="Times New Roman"/>
          <w:b/>
          <w:sz w:val="24"/>
          <w:szCs w:val="24"/>
          <w:lang w:eastAsia="ru-RU"/>
        </w:rPr>
        <w:t xml:space="preserve">4.5 Взаимодействия с другими лекарственными препаратами </w:t>
      </w:r>
      <w:bookmarkStart w:id="5" w:name="_Hlk25933222"/>
      <w:r w:rsidRPr="002F7934">
        <w:rPr>
          <w:rFonts w:ascii="Times New Roman" w:eastAsia="Times New Roman" w:hAnsi="Times New Roman" w:cs="Times New Roman"/>
          <w:b/>
          <w:sz w:val="24"/>
          <w:szCs w:val="24"/>
          <w:lang w:eastAsia="ru-RU"/>
        </w:rPr>
        <w:t>и другие виды взаимодействия</w:t>
      </w:r>
    </w:p>
    <w:bookmarkEnd w:id="5"/>
    <w:p w14:paraId="3552A16C" w14:textId="77777777" w:rsidR="002F7934" w:rsidRPr="002F7934" w:rsidRDefault="002F7934" w:rsidP="00F602A1">
      <w:pPr>
        <w:spacing w:after="0" w:line="240" w:lineRule="auto"/>
        <w:ind w:right="283"/>
        <w:jc w:val="both"/>
        <w:rPr>
          <w:rFonts w:ascii="Times New Roman" w:eastAsia="Times New Roman" w:hAnsi="Times New Roman" w:cs="Times New Roman"/>
          <w:snapToGrid w:val="0"/>
          <w:sz w:val="24"/>
          <w:szCs w:val="24"/>
          <w:lang w:eastAsia="ru-RU"/>
        </w:rPr>
      </w:pPr>
      <w:proofErr w:type="spellStart"/>
      <w:r w:rsidRPr="002F7934">
        <w:rPr>
          <w:rFonts w:ascii="Times New Roman" w:eastAsia="Times New Roman" w:hAnsi="Times New Roman" w:cs="Times New Roman"/>
          <w:snapToGrid w:val="0"/>
          <w:sz w:val="24"/>
          <w:szCs w:val="24"/>
          <w:lang w:eastAsia="ru-RU"/>
        </w:rPr>
        <w:t>Летрозол</w:t>
      </w:r>
      <w:proofErr w:type="spellEnd"/>
      <w:r w:rsidRPr="002F7934">
        <w:rPr>
          <w:rFonts w:ascii="Times New Roman" w:eastAsia="Times New Roman" w:hAnsi="Times New Roman" w:cs="Times New Roman"/>
          <w:snapToGrid w:val="0"/>
          <w:sz w:val="24"/>
          <w:szCs w:val="24"/>
          <w:lang w:eastAsia="ru-RU"/>
        </w:rPr>
        <w:t xml:space="preserve"> в значительной степени подвергается метаболизму под действием изоферментов CYP2A6 и CYP3A4. </w:t>
      </w:r>
      <w:proofErr w:type="spellStart"/>
      <w:r w:rsidRPr="002F7934">
        <w:rPr>
          <w:rFonts w:ascii="Times New Roman" w:eastAsia="Times New Roman" w:hAnsi="Times New Roman" w:cs="Times New Roman"/>
          <w:snapToGrid w:val="0"/>
          <w:sz w:val="24"/>
          <w:szCs w:val="24"/>
          <w:lang w:eastAsia="ru-RU"/>
        </w:rPr>
        <w:t>Циметидин</w:t>
      </w:r>
      <w:proofErr w:type="spellEnd"/>
      <w:r w:rsidRPr="002F7934">
        <w:rPr>
          <w:rFonts w:ascii="Times New Roman" w:eastAsia="Times New Roman" w:hAnsi="Times New Roman" w:cs="Times New Roman"/>
          <w:snapToGrid w:val="0"/>
          <w:sz w:val="24"/>
          <w:szCs w:val="24"/>
          <w:lang w:eastAsia="ru-RU"/>
        </w:rPr>
        <w:t xml:space="preserve"> как слабый, неспецифический ингибитор цитохромов CYP450 не оказывал влияния на уровни </w:t>
      </w:r>
      <w:proofErr w:type="spellStart"/>
      <w:r w:rsidRPr="002F7934">
        <w:rPr>
          <w:rFonts w:ascii="Times New Roman" w:eastAsia="Times New Roman" w:hAnsi="Times New Roman" w:cs="Times New Roman"/>
          <w:snapToGrid w:val="0"/>
          <w:sz w:val="24"/>
          <w:szCs w:val="24"/>
          <w:lang w:eastAsia="ru-RU"/>
        </w:rPr>
        <w:t>летрозола</w:t>
      </w:r>
      <w:proofErr w:type="spellEnd"/>
      <w:r w:rsidRPr="002F7934">
        <w:rPr>
          <w:rFonts w:ascii="Times New Roman" w:eastAsia="Times New Roman" w:hAnsi="Times New Roman" w:cs="Times New Roman"/>
          <w:snapToGrid w:val="0"/>
          <w:sz w:val="24"/>
          <w:szCs w:val="24"/>
          <w:lang w:eastAsia="ru-RU"/>
        </w:rPr>
        <w:t xml:space="preserve"> в плазме. Эффект мощных ингибиторов цитохромов CYP450 неизвестен.</w:t>
      </w:r>
    </w:p>
    <w:p w14:paraId="3E078B78" w14:textId="77777777" w:rsidR="002F7934" w:rsidRPr="002F7934" w:rsidRDefault="002F7934"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2F7934">
        <w:rPr>
          <w:rFonts w:ascii="Times New Roman" w:eastAsia="Times New Roman" w:hAnsi="Times New Roman" w:cs="Times New Roman"/>
          <w:snapToGrid w:val="0"/>
          <w:sz w:val="24"/>
          <w:szCs w:val="24"/>
          <w:lang w:eastAsia="ru-RU"/>
        </w:rPr>
        <w:t xml:space="preserve">К настоящему времени отсутствует клинический опыт применения </w:t>
      </w:r>
      <w:proofErr w:type="spellStart"/>
      <w:r w:rsidRPr="002F7934">
        <w:rPr>
          <w:rFonts w:ascii="Times New Roman" w:eastAsia="Times New Roman" w:hAnsi="Times New Roman" w:cs="Times New Roman"/>
          <w:snapToGrid w:val="0"/>
          <w:sz w:val="24"/>
          <w:szCs w:val="24"/>
          <w:lang w:eastAsia="ru-RU"/>
        </w:rPr>
        <w:t>летрозола</w:t>
      </w:r>
      <w:proofErr w:type="spellEnd"/>
      <w:r w:rsidRPr="002F7934">
        <w:rPr>
          <w:rFonts w:ascii="Times New Roman" w:eastAsia="Times New Roman" w:hAnsi="Times New Roman" w:cs="Times New Roman"/>
          <w:snapToGrid w:val="0"/>
          <w:sz w:val="24"/>
          <w:szCs w:val="24"/>
          <w:lang w:eastAsia="ru-RU"/>
        </w:rPr>
        <w:t xml:space="preserve"> в сочетании с другими противоопухолевыми препаратами.</w:t>
      </w:r>
    </w:p>
    <w:p w14:paraId="427E4F43" w14:textId="1896DF25" w:rsidR="002F7934" w:rsidRPr="002F7934" w:rsidRDefault="002F7934" w:rsidP="00F602A1">
      <w:pPr>
        <w:spacing w:after="0" w:line="240" w:lineRule="auto"/>
        <w:ind w:right="283"/>
        <w:jc w:val="both"/>
        <w:rPr>
          <w:rFonts w:ascii="Times New Roman" w:eastAsia="Times New Roman" w:hAnsi="Times New Roman" w:cs="Times New Roman"/>
          <w:snapToGrid w:val="0"/>
          <w:sz w:val="24"/>
          <w:szCs w:val="24"/>
          <w:lang w:eastAsia="ru-RU"/>
        </w:rPr>
      </w:pPr>
      <w:r w:rsidRPr="002F7934">
        <w:rPr>
          <w:rFonts w:ascii="Times New Roman" w:eastAsia="Times New Roman" w:hAnsi="Times New Roman" w:cs="Times New Roman"/>
          <w:snapToGrid w:val="0"/>
          <w:sz w:val="24"/>
          <w:szCs w:val="24"/>
          <w:lang w:eastAsia="ru-RU"/>
        </w:rPr>
        <w:t xml:space="preserve">Клинически значимых взаимодействий препарата </w:t>
      </w:r>
      <w:proofErr w:type="spellStart"/>
      <w:r w:rsidR="00D1031D">
        <w:rPr>
          <w:rFonts w:ascii="Times New Roman" w:eastAsia="Times New Roman" w:hAnsi="Times New Roman" w:cs="Times New Roman"/>
          <w:snapToGrid w:val="0"/>
          <w:sz w:val="24"/>
          <w:szCs w:val="24"/>
          <w:lang w:eastAsia="ru-RU"/>
        </w:rPr>
        <w:t>Летродэй</w:t>
      </w:r>
      <w:proofErr w:type="spellEnd"/>
      <w:r w:rsidRPr="002F7934">
        <w:rPr>
          <w:rFonts w:ascii="Times New Roman" w:eastAsia="Times New Roman" w:hAnsi="Times New Roman" w:cs="Times New Roman"/>
          <w:snapToGrid w:val="0"/>
          <w:sz w:val="24"/>
          <w:szCs w:val="24"/>
          <w:lang w:eastAsia="ru-RU"/>
        </w:rPr>
        <w:t xml:space="preserve"> с другими часто применяемыми препаратами отмечено не было. </w:t>
      </w:r>
    </w:p>
    <w:p w14:paraId="02B3A0EC" w14:textId="77777777" w:rsidR="002F7934" w:rsidRPr="002F7934" w:rsidRDefault="002F7934" w:rsidP="00F602A1">
      <w:pPr>
        <w:spacing w:after="0" w:line="240" w:lineRule="auto"/>
        <w:ind w:right="283"/>
        <w:jc w:val="both"/>
        <w:rPr>
          <w:rFonts w:ascii="Times New Roman" w:eastAsia="Times New Roman" w:hAnsi="Times New Roman" w:cs="Times New Roman"/>
          <w:snapToGrid w:val="0"/>
          <w:sz w:val="24"/>
          <w:szCs w:val="24"/>
          <w:lang w:eastAsia="ru-RU"/>
        </w:rPr>
      </w:pPr>
      <w:r w:rsidRPr="002F7934">
        <w:rPr>
          <w:rFonts w:ascii="Times New Roman" w:eastAsia="Times New Roman" w:hAnsi="Times New Roman" w:cs="Times New Roman"/>
          <w:snapToGrid w:val="0"/>
          <w:sz w:val="24"/>
          <w:szCs w:val="24"/>
          <w:lang w:eastAsia="ru-RU"/>
        </w:rPr>
        <w:t xml:space="preserve">Тамоксифен, другие </w:t>
      </w:r>
      <w:proofErr w:type="spellStart"/>
      <w:r w:rsidRPr="002F7934">
        <w:rPr>
          <w:rFonts w:ascii="Times New Roman" w:eastAsia="Times New Roman" w:hAnsi="Times New Roman" w:cs="Times New Roman"/>
          <w:snapToGrid w:val="0"/>
          <w:sz w:val="24"/>
          <w:szCs w:val="24"/>
          <w:lang w:eastAsia="ru-RU"/>
        </w:rPr>
        <w:t>антиэстрогены</w:t>
      </w:r>
      <w:proofErr w:type="spellEnd"/>
      <w:r w:rsidRPr="002F7934">
        <w:rPr>
          <w:rFonts w:ascii="Times New Roman" w:eastAsia="Times New Roman" w:hAnsi="Times New Roman" w:cs="Times New Roman"/>
          <w:snapToGrid w:val="0"/>
          <w:sz w:val="24"/>
          <w:szCs w:val="24"/>
          <w:lang w:eastAsia="ru-RU"/>
        </w:rPr>
        <w:t xml:space="preserve"> или эстроген-содержащие препараты, могут понизить фармакологическую активность </w:t>
      </w:r>
      <w:proofErr w:type="spellStart"/>
      <w:r w:rsidRPr="002F7934">
        <w:rPr>
          <w:rFonts w:ascii="Times New Roman" w:eastAsia="Times New Roman" w:hAnsi="Times New Roman" w:cs="Times New Roman"/>
          <w:snapToGrid w:val="0"/>
          <w:sz w:val="24"/>
          <w:szCs w:val="24"/>
          <w:lang w:eastAsia="ru-RU"/>
        </w:rPr>
        <w:t>летрозола</w:t>
      </w:r>
      <w:proofErr w:type="spellEnd"/>
      <w:r w:rsidRPr="002F7934">
        <w:rPr>
          <w:rFonts w:ascii="Times New Roman" w:eastAsia="Times New Roman" w:hAnsi="Times New Roman" w:cs="Times New Roman"/>
          <w:snapToGrid w:val="0"/>
          <w:sz w:val="24"/>
          <w:szCs w:val="24"/>
          <w:lang w:eastAsia="ru-RU"/>
        </w:rPr>
        <w:t xml:space="preserve">. Кроме того, было показано, что комбинирование тамоксифена с </w:t>
      </w:r>
      <w:proofErr w:type="spellStart"/>
      <w:r w:rsidRPr="002F7934">
        <w:rPr>
          <w:rFonts w:ascii="Times New Roman" w:eastAsia="Times New Roman" w:hAnsi="Times New Roman" w:cs="Times New Roman"/>
          <w:snapToGrid w:val="0"/>
          <w:sz w:val="24"/>
          <w:szCs w:val="24"/>
          <w:lang w:eastAsia="ru-RU"/>
        </w:rPr>
        <w:t>летрозолом</w:t>
      </w:r>
      <w:proofErr w:type="spellEnd"/>
      <w:r w:rsidRPr="002F7934">
        <w:rPr>
          <w:rFonts w:ascii="Times New Roman" w:eastAsia="Times New Roman" w:hAnsi="Times New Roman" w:cs="Times New Roman"/>
          <w:snapToGrid w:val="0"/>
          <w:sz w:val="24"/>
          <w:szCs w:val="24"/>
          <w:lang w:eastAsia="ru-RU"/>
        </w:rPr>
        <w:t xml:space="preserve"> значительно понижает уровень </w:t>
      </w:r>
      <w:proofErr w:type="spellStart"/>
      <w:r w:rsidRPr="002F7934">
        <w:rPr>
          <w:rFonts w:ascii="Times New Roman" w:eastAsia="Times New Roman" w:hAnsi="Times New Roman" w:cs="Times New Roman"/>
          <w:snapToGrid w:val="0"/>
          <w:sz w:val="24"/>
          <w:szCs w:val="24"/>
          <w:lang w:eastAsia="ru-RU"/>
        </w:rPr>
        <w:t>летрозола</w:t>
      </w:r>
      <w:proofErr w:type="spellEnd"/>
      <w:r w:rsidRPr="002F7934">
        <w:rPr>
          <w:rFonts w:ascii="Times New Roman" w:eastAsia="Times New Roman" w:hAnsi="Times New Roman" w:cs="Times New Roman"/>
          <w:snapToGrid w:val="0"/>
          <w:sz w:val="24"/>
          <w:szCs w:val="24"/>
          <w:lang w:eastAsia="ru-RU"/>
        </w:rPr>
        <w:t xml:space="preserve"> в плазме. Таким образом, следует избегать комбинации </w:t>
      </w:r>
      <w:proofErr w:type="spellStart"/>
      <w:r w:rsidRPr="002F7934">
        <w:rPr>
          <w:rFonts w:ascii="Times New Roman" w:eastAsia="Times New Roman" w:hAnsi="Times New Roman" w:cs="Times New Roman"/>
          <w:snapToGrid w:val="0"/>
          <w:sz w:val="24"/>
          <w:szCs w:val="24"/>
          <w:lang w:eastAsia="ru-RU"/>
        </w:rPr>
        <w:t>летрозола</w:t>
      </w:r>
      <w:proofErr w:type="spellEnd"/>
      <w:r w:rsidRPr="002F7934">
        <w:rPr>
          <w:rFonts w:ascii="Times New Roman" w:eastAsia="Times New Roman" w:hAnsi="Times New Roman" w:cs="Times New Roman"/>
          <w:snapToGrid w:val="0"/>
          <w:sz w:val="24"/>
          <w:szCs w:val="24"/>
          <w:lang w:eastAsia="ru-RU"/>
        </w:rPr>
        <w:t xml:space="preserve"> с</w:t>
      </w:r>
      <w:r w:rsidRPr="002F7934">
        <w:rPr>
          <w:rFonts w:ascii="Times New Roman" w:eastAsia="TimesNewRoman" w:hAnsi="Times New Roman" w:cs="Times New Roman"/>
          <w:sz w:val="24"/>
          <w:szCs w:val="24"/>
          <w:lang w:eastAsia="ru-RU"/>
        </w:rPr>
        <w:t xml:space="preserve"> </w:t>
      </w:r>
      <w:r w:rsidRPr="002F7934">
        <w:rPr>
          <w:rFonts w:ascii="Times New Roman" w:eastAsia="Times New Roman" w:hAnsi="Times New Roman" w:cs="Times New Roman"/>
          <w:snapToGrid w:val="0"/>
          <w:sz w:val="24"/>
          <w:szCs w:val="24"/>
          <w:lang w:eastAsia="ru-RU"/>
        </w:rPr>
        <w:t>тамоксифеном, другими анти-эстрогенами или эстрогенными препаратами.</w:t>
      </w:r>
    </w:p>
    <w:p w14:paraId="40314092" w14:textId="77777777" w:rsidR="002F7934" w:rsidRPr="002F7934" w:rsidRDefault="002F7934" w:rsidP="00F602A1">
      <w:pPr>
        <w:spacing w:after="0" w:line="240" w:lineRule="auto"/>
        <w:ind w:right="283"/>
        <w:jc w:val="both"/>
        <w:rPr>
          <w:rFonts w:ascii="Times New Roman" w:eastAsia="Times New Roman" w:hAnsi="Times New Roman" w:cs="Times New Roman"/>
          <w:snapToGrid w:val="0"/>
          <w:sz w:val="24"/>
          <w:szCs w:val="24"/>
          <w:lang w:eastAsia="ru-RU"/>
        </w:rPr>
      </w:pPr>
      <w:proofErr w:type="spellStart"/>
      <w:r w:rsidRPr="002F7934">
        <w:rPr>
          <w:rFonts w:ascii="Times New Roman" w:eastAsia="Times New Roman" w:hAnsi="Times New Roman" w:cs="Times New Roman"/>
          <w:i/>
          <w:snapToGrid w:val="0"/>
          <w:sz w:val="24"/>
          <w:szCs w:val="24"/>
          <w:lang w:eastAsia="ru-RU"/>
        </w:rPr>
        <w:t>In</w:t>
      </w:r>
      <w:proofErr w:type="spellEnd"/>
      <w:r w:rsidRPr="002F7934">
        <w:rPr>
          <w:rFonts w:ascii="Times New Roman" w:eastAsia="Times New Roman" w:hAnsi="Times New Roman" w:cs="Times New Roman"/>
          <w:i/>
          <w:snapToGrid w:val="0"/>
          <w:sz w:val="24"/>
          <w:szCs w:val="24"/>
          <w:lang w:eastAsia="ru-RU"/>
        </w:rPr>
        <w:t xml:space="preserve"> </w:t>
      </w:r>
      <w:proofErr w:type="spellStart"/>
      <w:r w:rsidRPr="002F7934">
        <w:rPr>
          <w:rFonts w:ascii="Times New Roman" w:eastAsia="Times New Roman" w:hAnsi="Times New Roman" w:cs="Times New Roman"/>
          <w:i/>
          <w:snapToGrid w:val="0"/>
          <w:sz w:val="24"/>
          <w:szCs w:val="24"/>
          <w:lang w:eastAsia="ru-RU"/>
        </w:rPr>
        <w:t>vitro</w:t>
      </w:r>
      <w:proofErr w:type="spellEnd"/>
      <w:r w:rsidRPr="002F7934">
        <w:rPr>
          <w:rFonts w:ascii="Times New Roman" w:eastAsia="Times New Roman" w:hAnsi="Times New Roman" w:cs="Times New Roman"/>
          <w:snapToGrid w:val="0"/>
          <w:sz w:val="24"/>
          <w:szCs w:val="24"/>
          <w:lang w:eastAsia="ru-RU"/>
        </w:rPr>
        <w:t xml:space="preserve"> </w:t>
      </w:r>
      <w:proofErr w:type="spellStart"/>
      <w:r w:rsidRPr="002F7934">
        <w:rPr>
          <w:rFonts w:ascii="Times New Roman" w:eastAsia="Times New Roman" w:hAnsi="Times New Roman" w:cs="Times New Roman"/>
          <w:snapToGrid w:val="0"/>
          <w:sz w:val="24"/>
          <w:szCs w:val="24"/>
          <w:lang w:eastAsia="ru-RU"/>
        </w:rPr>
        <w:t>летрозол</w:t>
      </w:r>
      <w:proofErr w:type="spellEnd"/>
      <w:r w:rsidRPr="002F7934">
        <w:rPr>
          <w:rFonts w:ascii="Times New Roman" w:eastAsia="Times New Roman" w:hAnsi="Times New Roman" w:cs="Times New Roman"/>
          <w:snapToGrid w:val="0"/>
          <w:sz w:val="24"/>
          <w:szCs w:val="24"/>
          <w:lang w:eastAsia="ru-RU"/>
        </w:rPr>
        <w:t xml:space="preserve"> подавляет активность изоферментов цитохрома Р450 2А6 и 2С19 (причем последнего – умеренно), однако клиническая значимость этого неизвестна. Поэтому, следует соблюдать осторожность при совместном применении </w:t>
      </w:r>
      <w:proofErr w:type="spellStart"/>
      <w:r w:rsidRPr="002F7934">
        <w:rPr>
          <w:rFonts w:ascii="Times New Roman" w:eastAsia="Times New Roman" w:hAnsi="Times New Roman" w:cs="Times New Roman"/>
          <w:snapToGrid w:val="0"/>
          <w:sz w:val="24"/>
          <w:szCs w:val="24"/>
          <w:lang w:eastAsia="ru-RU"/>
        </w:rPr>
        <w:t>летрозола</w:t>
      </w:r>
      <w:proofErr w:type="spellEnd"/>
      <w:r w:rsidRPr="002F7934">
        <w:rPr>
          <w:rFonts w:ascii="Times New Roman" w:eastAsia="Times New Roman" w:hAnsi="Times New Roman" w:cs="Times New Roman"/>
          <w:snapToGrid w:val="0"/>
          <w:sz w:val="24"/>
          <w:szCs w:val="24"/>
          <w:lang w:eastAsia="ru-RU"/>
        </w:rPr>
        <w:t xml:space="preserve"> с </w:t>
      </w:r>
      <w:r w:rsidRPr="002F7934">
        <w:rPr>
          <w:rFonts w:ascii="Times New Roman" w:eastAsia="Times New Roman" w:hAnsi="Times New Roman" w:cs="Times New Roman"/>
          <w:snapToGrid w:val="0"/>
          <w:sz w:val="24"/>
          <w:szCs w:val="24"/>
          <w:lang w:eastAsia="ru-RU"/>
        </w:rPr>
        <w:lastRenderedPageBreak/>
        <w:t xml:space="preserve">препаратами, метаболизм которых в основном зависит от этих изоферментов, и которые имеют узкий терапевтический индекс (например, фенитоин, </w:t>
      </w:r>
      <w:proofErr w:type="spellStart"/>
      <w:r w:rsidRPr="002F7934">
        <w:rPr>
          <w:rFonts w:ascii="Times New Roman" w:eastAsia="Times New Roman" w:hAnsi="Times New Roman" w:cs="Times New Roman"/>
          <w:snapToGrid w:val="0"/>
          <w:sz w:val="24"/>
          <w:szCs w:val="24"/>
          <w:lang w:eastAsia="ru-RU"/>
        </w:rPr>
        <w:t>клопидогрел</w:t>
      </w:r>
      <w:proofErr w:type="spellEnd"/>
      <w:r w:rsidRPr="002F7934">
        <w:rPr>
          <w:rFonts w:ascii="Times New Roman" w:eastAsia="Times New Roman" w:hAnsi="Times New Roman" w:cs="Times New Roman"/>
          <w:snapToGrid w:val="0"/>
          <w:sz w:val="24"/>
          <w:szCs w:val="24"/>
          <w:lang w:eastAsia="ru-RU"/>
        </w:rPr>
        <w:t>).</w:t>
      </w:r>
    </w:p>
    <w:p w14:paraId="3C86FBC8" w14:textId="77777777" w:rsidR="002F7934" w:rsidRPr="002F7934" w:rsidRDefault="002F7934" w:rsidP="00F602A1">
      <w:pPr>
        <w:spacing w:after="0" w:line="240" w:lineRule="auto"/>
        <w:ind w:right="283"/>
        <w:jc w:val="both"/>
        <w:rPr>
          <w:rFonts w:ascii="Times New Roman" w:eastAsia="Times New Roman" w:hAnsi="Times New Roman" w:cs="Times New Roman"/>
          <w:b/>
          <w:snapToGrid w:val="0"/>
          <w:sz w:val="24"/>
          <w:szCs w:val="24"/>
          <w:lang w:eastAsia="ru-RU"/>
        </w:rPr>
      </w:pPr>
    </w:p>
    <w:p w14:paraId="2175F0DD" w14:textId="77777777" w:rsidR="002F7934" w:rsidRPr="002F7934" w:rsidRDefault="002F7934" w:rsidP="00F602A1">
      <w:pPr>
        <w:spacing w:after="0" w:line="240" w:lineRule="auto"/>
        <w:ind w:right="283"/>
        <w:jc w:val="both"/>
        <w:rPr>
          <w:rFonts w:ascii="Times New Roman" w:eastAsia="Times New Roman" w:hAnsi="Times New Roman" w:cs="Times New Roman"/>
          <w:i/>
          <w:snapToGrid w:val="0"/>
          <w:sz w:val="24"/>
          <w:szCs w:val="24"/>
          <w:lang w:eastAsia="ru-RU"/>
        </w:rPr>
      </w:pPr>
      <w:r w:rsidRPr="002F7934">
        <w:rPr>
          <w:rFonts w:ascii="Times New Roman" w:eastAsia="Times New Roman" w:hAnsi="Times New Roman" w:cs="Times New Roman"/>
          <w:b/>
          <w:snapToGrid w:val="0"/>
          <w:sz w:val="24"/>
          <w:szCs w:val="24"/>
          <w:lang w:eastAsia="ru-RU"/>
        </w:rPr>
        <w:t>4.6 Фертильность, беременность и лактация</w:t>
      </w:r>
    </w:p>
    <w:p w14:paraId="44A61385" w14:textId="77777777" w:rsidR="002F7934" w:rsidRPr="002F7934" w:rsidRDefault="002F7934" w:rsidP="00F602A1">
      <w:pPr>
        <w:autoSpaceDE w:val="0"/>
        <w:autoSpaceDN w:val="0"/>
        <w:adjustRightInd w:val="0"/>
        <w:spacing w:after="0" w:line="240" w:lineRule="auto"/>
        <w:ind w:right="283"/>
        <w:jc w:val="both"/>
        <w:rPr>
          <w:rFonts w:ascii="Times New Roman" w:eastAsia="Times New Roman" w:hAnsi="Times New Roman" w:cs="Times New Roman"/>
          <w:i/>
          <w:iCs/>
          <w:snapToGrid w:val="0"/>
          <w:sz w:val="24"/>
          <w:szCs w:val="24"/>
          <w:lang w:eastAsia="ru-RU"/>
        </w:rPr>
      </w:pPr>
      <w:r w:rsidRPr="002F7934">
        <w:rPr>
          <w:rFonts w:ascii="Times New Roman" w:eastAsia="Times New Roman" w:hAnsi="Times New Roman" w:cs="Times New Roman"/>
          <w:i/>
          <w:iCs/>
          <w:snapToGrid w:val="0"/>
          <w:sz w:val="24"/>
          <w:szCs w:val="24"/>
          <w:lang w:eastAsia="ru-RU"/>
        </w:rPr>
        <w:t xml:space="preserve">Женщины репродуктивного возраста и в </w:t>
      </w:r>
      <w:proofErr w:type="spellStart"/>
      <w:r w:rsidRPr="002F7934">
        <w:rPr>
          <w:rFonts w:ascii="Times New Roman" w:eastAsia="Times New Roman" w:hAnsi="Times New Roman" w:cs="Times New Roman"/>
          <w:i/>
          <w:iCs/>
          <w:snapToGrid w:val="0"/>
          <w:sz w:val="24"/>
          <w:szCs w:val="24"/>
          <w:lang w:eastAsia="ru-RU"/>
        </w:rPr>
        <w:t>перименопаузальном</w:t>
      </w:r>
      <w:proofErr w:type="spellEnd"/>
      <w:r w:rsidRPr="002F7934">
        <w:rPr>
          <w:rFonts w:ascii="Times New Roman" w:eastAsia="Times New Roman" w:hAnsi="Times New Roman" w:cs="Times New Roman"/>
          <w:i/>
          <w:iCs/>
          <w:snapToGrid w:val="0"/>
          <w:sz w:val="24"/>
          <w:szCs w:val="24"/>
          <w:lang w:eastAsia="ru-RU"/>
        </w:rPr>
        <w:t xml:space="preserve"> периоде</w:t>
      </w:r>
    </w:p>
    <w:p w14:paraId="3247A8DD" w14:textId="6A7B8644" w:rsidR="002F7934" w:rsidRPr="002F7934" w:rsidRDefault="000F7AD1"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proofErr w:type="spellStart"/>
      <w:r>
        <w:rPr>
          <w:rFonts w:ascii="Times New Roman" w:eastAsia="Times New Roman" w:hAnsi="Times New Roman" w:cs="Times New Roman"/>
          <w:snapToGrid w:val="0"/>
          <w:sz w:val="24"/>
          <w:szCs w:val="24"/>
          <w:lang w:eastAsia="ru-RU"/>
        </w:rPr>
        <w:t>Летродэй</w:t>
      </w:r>
      <w:proofErr w:type="spellEnd"/>
      <w:r w:rsidR="002F7934" w:rsidRPr="002F7934">
        <w:rPr>
          <w:rFonts w:ascii="Times New Roman" w:eastAsia="Times New Roman" w:hAnsi="Times New Roman" w:cs="Times New Roman"/>
          <w:snapToGrid w:val="0"/>
          <w:sz w:val="24"/>
          <w:szCs w:val="24"/>
          <w:lang w:eastAsia="ru-RU"/>
        </w:rPr>
        <w:t xml:space="preserve"> можно назначать только пациенткам с однозначно установленным статусом постменопаузы (см. раздел 4.4). Так как имеются сообщения о восстановлении функции яичников на фоне лечения </w:t>
      </w:r>
      <w:proofErr w:type="spellStart"/>
      <w:r w:rsidR="002F7934" w:rsidRPr="002F7934">
        <w:rPr>
          <w:rFonts w:ascii="Times New Roman" w:eastAsia="Times New Roman" w:hAnsi="Times New Roman" w:cs="Times New Roman"/>
          <w:snapToGrid w:val="0"/>
          <w:sz w:val="24"/>
          <w:szCs w:val="24"/>
          <w:lang w:eastAsia="ru-RU"/>
        </w:rPr>
        <w:t>летрозолом</w:t>
      </w:r>
      <w:proofErr w:type="spellEnd"/>
      <w:r w:rsidR="002F7934" w:rsidRPr="002F7934">
        <w:rPr>
          <w:rFonts w:ascii="Times New Roman" w:eastAsia="Times New Roman" w:hAnsi="Times New Roman" w:cs="Times New Roman"/>
          <w:snapToGrid w:val="0"/>
          <w:sz w:val="24"/>
          <w:szCs w:val="24"/>
          <w:lang w:eastAsia="ru-RU"/>
        </w:rPr>
        <w:t xml:space="preserve">, несмотря на установленный статус постменопаузы в начале лечения, врач должен обсудить с пациенткой важность использования надежных методов контрацепции, если в этом есть необходимость.  </w:t>
      </w:r>
    </w:p>
    <w:p w14:paraId="0225EE12" w14:textId="24FB6C3C" w:rsidR="002F7934" w:rsidRPr="002F7934" w:rsidRDefault="002F7934" w:rsidP="00F602A1">
      <w:pPr>
        <w:spacing w:after="0" w:line="240" w:lineRule="auto"/>
        <w:ind w:right="283"/>
        <w:jc w:val="both"/>
        <w:rPr>
          <w:rFonts w:ascii="Times New Roman" w:eastAsia="Times New Roman" w:hAnsi="Times New Roman" w:cs="Times New Roman"/>
          <w:i/>
          <w:snapToGrid w:val="0"/>
          <w:sz w:val="24"/>
          <w:szCs w:val="24"/>
          <w:lang w:eastAsia="ru-RU"/>
        </w:rPr>
      </w:pPr>
      <w:r w:rsidRPr="002F7934">
        <w:rPr>
          <w:rFonts w:ascii="Times New Roman" w:eastAsia="Times New Roman" w:hAnsi="Times New Roman" w:cs="Times New Roman"/>
          <w:i/>
          <w:snapToGrid w:val="0"/>
          <w:sz w:val="24"/>
          <w:szCs w:val="24"/>
          <w:lang w:eastAsia="ru-RU"/>
        </w:rPr>
        <w:t>Беременность</w:t>
      </w:r>
    </w:p>
    <w:p w14:paraId="042ADC78" w14:textId="263C8EC8" w:rsidR="002F7934" w:rsidRPr="002F7934" w:rsidRDefault="002F7934"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2F7934">
        <w:rPr>
          <w:rFonts w:ascii="Times New Roman" w:eastAsia="Times New Roman" w:hAnsi="Times New Roman" w:cs="Times New Roman"/>
          <w:snapToGrid w:val="0"/>
          <w:sz w:val="24"/>
          <w:szCs w:val="24"/>
          <w:lang w:eastAsia="ru-RU"/>
        </w:rPr>
        <w:t xml:space="preserve">Врач должен обсудить необходимость выполнения теста на беременность перед началом введения препарата </w:t>
      </w:r>
      <w:proofErr w:type="spellStart"/>
      <w:r w:rsidR="000F7AD1">
        <w:rPr>
          <w:rFonts w:ascii="Times New Roman" w:eastAsia="Times New Roman" w:hAnsi="Times New Roman" w:cs="Times New Roman"/>
          <w:snapToGrid w:val="0"/>
          <w:sz w:val="24"/>
          <w:szCs w:val="24"/>
          <w:lang w:eastAsia="ru-RU"/>
        </w:rPr>
        <w:t>Летродэй</w:t>
      </w:r>
      <w:proofErr w:type="spellEnd"/>
      <w:r w:rsidRPr="002F7934">
        <w:rPr>
          <w:rFonts w:ascii="Times New Roman" w:eastAsia="Times New Roman" w:hAnsi="Times New Roman" w:cs="Times New Roman"/>
          <w:snapToGrid w:val="0"/>
          <w:sz w:val="24"/>
          <w:szCs w:val="24"/>
          <w:lang w:eastAsia="ru-RU"/>
        </w:rPr>
        <w:t xml:space="preserve"> и принятия достаточных мер контрацепции с женщинами, у которых может наступить беременность (например, в случае </w:t>
      </w:r>
      <w:proofErr w:type="spellStart"/>
      <w:r w:rsidRPr="002F7934">
        <w:rPr>
          <w:rFonts w:ascii="Times New Roman" w:eastAsia="Times New Roman" w:hAnsi="Times New Roman" w:cs="Times New Roman"/>
          <w:snapToGrid w:val="0"/>
          <w:sz w:val="24"/>
          <w:szCs w:val="24"/>
          <w:lang w:eastAsia="ru-RU"/>
        </w:rPr>
        <w:t>перименопаузы</w:t>
      </w:r>
      <w:proofErr w:type="spellEnd"/>
      <w:r w:rsidRPr="002F7934">
        <w:rPr>
          <w:rFonts w:ascii="Times New Roman" w:eastAsia="Times New Roman" w:hAnsi="Times New Roman" w:cs="Times New Roman"/>
          <w:snapToGrid w:val="0"/>
          <w:sz w:val="24"/>
          <w:szCs w:val="24"/>
          <w:lang w:eastAsia="ru-RU"/>
        </w:rPr>
        <w:t xml:space="preserve"> или после недавнего наступления постменопаузы) до достоверного подтверждения статуса постменопаузы. </w:t>
      </w:r>
    </w:p>
    <w:p w14:paraId="7B589659" w14:textId="4682CB23" w:rsidR="002F7934" w:rsidRDefault="002F7934"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2F7934">
        <w:rPr>
          <w:rFonts w:ascii="Times New Roman" w:eastAsia="Times New Roman" w:hAnsi="Times New Roman" w:cs="Times New Roman"/>
          <w:snapToGrid w:val="0"/>
          <w:sz w:val="24"/>
          <w:szCs w:val="24"/>
          <w:lang w:eastAsia="ru-RU"/>
        </w:rPr>
        <w:t xml:space="preserve">Сообщалось о единичных случаях пороков развития (лабиальное сращение, неоднозначный пол). </w:t>
      </w:r>
      <w:proofErr w:type="spellStart"/>
      <w:r w:rsidR="000F7AD1">
        <w:rPr>
          <w:rFonts w:ascii="Times New Roman" w:eastAsia="Times New Roman" w:hAnsi="Times New Roman" w:cs="Times New Roman"/>
          <w:snapToGrid w:val="0"/>
          <w:sz w:val="24"/>
          <w:szCs w:val="24"/>
          <w:lang w:eastAsia="ru-RU"/>
        </w:rPr>
        <w:t>Летродэй</w:t>
      </w:r>
      <w:proofErr w:type="spellEnd"/>
      <w:r w:rsidRPr="002F7934">
        <w:rPr>
          <w:rFonts w:ascii="Times New Roman" w:eastAsia="Times New Roman" w:hAnsi="Times New Roman" w:cs="Times New Roman"/>
          <w:snapToGrid w:val="0"/>
          <w:sz w:val="24"/>
          <w:szCs w:val="24"/>
          <w:lang w:eastAsia="ru-RU"/>
        </w:rPr>
        <w:t xml:space="preserve"> может вызвать пороки развития при применении во время беременности. Экспериментальные исследования на животных выявили репродуктивную токсичность.</w:t>
      </w:r>
    </w:p>
    <w:p w14:paraId="22B7D1A3" w14:textId="3E87F225" w:rsidR="00395AE5" w:rsidRDefault="00395AE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proofErr w:type="spellStart"/>
      <w:r>
        <w:rPr>
          <w:rFonts w:ascii="Times New Roman" w:eastAsia="Times New Roman" w:hAnsi="Times New Roman" w:cs="Times New Roman"/>
          <w:snapToGrid w:val="0"/>
          <w:sz w:val="24"/>
          <w:szCs w:val="24"/>
          <w:lang w:eastAsia="ru-RU"/>
        </w:rPr>
        <w:t>Летродэй</w:t>
      </w:r>
      <w:proofErr w:type="spellEnd"/>
      <w:r w:rsidRPr="002F7934">
        <w:rPr>
          <w:rFonts w:ascii="Times New Roman" w:eastAsia="Times New Roman" w:hAnsi="Times New Roman" w:cs="Times New Roman"/>
          <w:snapToGrid w:val="0"/>
          <w:sz w:val="24"/>
          <w:szCs w:val="24"/>
          <w:lang w:eastAsia="ru-RU"/>
        </w:rPr>
        <w:t xml:space="preserve"> противопоказан во время беременности.</w:t>
      </w:r>
    </w:p>
    <w:p w14:paraId="67765BAF" w14:textId="09EE8FBA" w:rsidR="00BC5CE8" w:rsidRPr="002F7934" w:rsidRDefault="00BC5CE8" w:rsidP="00F602A1">
      <w:pPr>
        <w:autoSpaceDE w:val="0"/>
        <w:autoSpaceDN w:val="0"/>
        <w:adjustRightInd w:val="0"/>
        <w:spacing w:after="0" w:line="240" w:lineRule="auto"/>
        <w:ind w:right="283"/>
        <w:jc w:val="both"/>
        <w:rPr>
          <w:rFonts w:ascii="Times New Roman" w:eastAsia="Times New Roman" w:hAnsi="Times New Roman" w:cs="Times New Roman"/>
          <w:i/>
          <w:iCs/>
          <w:snapToGrid w:val="0"/>
          <w:sz w:val="24"/>
          <w:szCs w:val="24"/>
          <w:lang w:eastAsia="ru-RU"/>
        </w:rPr>
      </w:pPr>
      <w:r w:rsidRPr="00BC5CE8">
        <w:rPr>
          <w:rFonts w:ascii="Times New Roman" w:eastAsia="Times New Roman" w:hAnsi="Times New Roman" w:cs="Times New Roman"/>
          <w:i/>
          <w:iCs/>
          <w:snapToGrid w:val="0"/>
          <w:sz w:val="24"/>
          <w:szCs w:val="24"/>
          <w:lang w:eastAsia="ru-RU"/>
        </w:rPr>
        <w:t>Кормление грудью</w:t>
      </w:r>
    </w:p>
    <w:p w14:paraId="108CD25B" w14:textId="77777777" w:rsidR="002F7934" w:rsidRPr="002F7934" w:rsidRDefault="002F7934"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2F7934">
        <w:rPr>
          <w:rFonts w:ascii="Times New Roman" w:eastAsia="Times New Roman" w:hAnsi="Times New Roman" w:cs="Times New Roman"/>
          <w:snapToGrid w:val="0"/>
          <w:sz w:val="24"/>
          <w:szCs w:val="24"/>
          <w:lang w:eastAsia="ru-RU"/>
        </w:rPr>
        <w:t xml:space="preserve">Неизвестно, выделяется ли </w:t>
      </w:r>
      <w:proofErr w:type="spellStart"/>
      <w:r w:rsidRPr="002F7934">
        <w:rPr>
          <w:rFonts w:ascii="Times New Roman" w:eastAsia="Times New Roman" w:hAnsi="Times New Roman" w:cs="Times New Roman"/>
          <w:snapToGrid w:val="0"/>
          <w:sz w:val="24"/>
          <w:szCs w:val="24"/>
          <w:lang w:eastAsia="ru-RU"/>
        </w:rPr>
        <w:t>летрозол</w:t>
      </w:r>
      <w:proofErr w:type="spellEnd"/>
      <w:r w:rsidRPr="002F7934">
        <w:rPr>
          <w:rFonts w:ascii="Times New Roman" w:eastAsia="Times New Roman" w:hAnsi="Times New Roman" w:cs="Times New Roman"/>
          <w:snapToGrid w:val="0"/>
          <w:sz w:val="24"/>
          <w:szCs w:val="24"/>
          <w:lang w:eastAsia="ru-RU"/>
        </w:rPr>
        <w:t xml:space="preserve"> и его метаболиты в грудное молоко. Нельзя исключить риск для новорождённых и детей. </w:t>
      </w:r>
    </w:p>
    <w:p w14:paraId="056EA555" w14:textId="00615222" w:rsidR="002F7934" w:rsidRPr="002F7934" w:rsidRDefault="000F7AD1"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bookmarkStart w:id="6" w:name="_Hlk56074665"/>
      <w:proofErr w:type="spellStart"/>
      <w:r>
        <w:rPr>
          <w:rFonts w:ascii="Times New Roman" w:eastAsia="Times New Roman" w:hAnsi="Times New Roman" w:cs="Times New Roman"/>
          <w:snapToGrid w:val="0"/>
          <w:sz w:val="24"/>
          <w:szCs w:val="24"/>
          <w:lang w:eastAsia="ru-RU"/>
        </w:rPr>
        <w:t>Летродэй</w:t>
      </w:r>
      <w:proofErr w:type="spellEnd"/>
      <w:r w:rsidR="002F7934" w:rsidRPr="002F7934">
        <w:rPr>
          <w:rFonts w:ascii="Times New Roman" w:eastAsia="Times New Roman" w:hAnsi="Times New Roman" w:cs="Times New Roman"/>
          <w:snapToGrid w:val="0"/>
          <w:sz w:val="24"/>
          <w:szCs w:val="24"/>
          <w:lang w:eastAsia="ru-RU"/>
        </w:rPr>
        <w:t xml:space="preserve"> противопоказан в период лактации.</w:t>
      </w:r>
    </w:p>
    <w:bookmarkEnd w:id="6"/>
    <w:p w14:paraId="00C9712B" w14:textId="77777777" w:rsidR="002F7934" w:rsidRPr="002F7934" w:rsidRDefault="002F7934" w:rsidP="00F602A1">
      <w:pPr>
        <w:autoSpaceDE w:val="0"/>
        <w:autoSpaceDN w:val="0"/>
        <w:adjustRightInd w:val="0"/>
        <w:spacing w:after="0" w:line="240" w:lineRule="auto"/>
        <w:ind w:right="283"/>
        <w:jc w:val="both"/>
        <w:rPr>
          <w:rFonts w:ascii="Times New Roman" w:eastAsia="Times New Roman" w:hAnsi="Times New Roman" w:cs="Times New Roman"/>
          <w:i/>
          <w:snapToGrid w:val="0"/>
          <w:sz w:val="24"/>
          <w:szCs w:val="24"/>
          <w:lang w:eastAsia="ru-RU"/>
        </w:rPr>
      </w:pPr>
      <w:r w:rsidRPr="002F7934">
        <w:rPr>
          <w:rFonts w:ascii="Times New Roman" w:eastAsia="Times New Roman" w:hAnsi="Times New Roman" w:cs="Times New Roman"/>
          <w:i/>
          <w:snapToGrid w:val="0"/>
          <w:sz w:val="24"/>
          <w:szCs w:val="24"/>
          <w:lang w:eastAsia="ru-RU"/>
        </w:rPr>
        <w:t>Фертильность</w:t>
      </w:r>
    </w:p>
    <w:p w14:paraId="4B073671" w14:textId="77777777" w:rsidR="002F7934" w:rsidRPr="002F7934" w:rsidRDefault="002F7934"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2F7934">
        <w:rPr>
          <w:rFonts w:ascii="Times New Roman" w:eastAsia="Times New Roman" w:hAnsi="Times New Roman" w:cs="Times New Roman"/>
          <w:snapToGrid w:val="0"/>
          <w:sz w:val="24"/>
          <w:szCs w:val="24"/>
          <w:lang w:eastAsia="ru-RU"/>
        </w:rPr>
        <w:t xml:space="preserve">Фармакологическим эффектом </w:t>
      </w:r>
      <w:proofErr w:type="spellStart"/>
      <w:r w:rsidRPr="002F7934">
        <w:rPr>
          <w:rFonts w:ascii="Times New Roman" w:eastAsia="Times New Roman" w:hAnsi="Times New Roman" w:cs="Times New Roman"/>
          <w:snapToGrid w:val="0"/>
          <w:sz w:val="24"/>
          <w:szCs w:val="24"/>
          <w:lang w:eastAsia="ru-RU"/>
        </w:rPr>
        <w:t>летрозола</w:t>
      </w:r>
      <w:proofErr w:type="spellEnd"/>
      <w:r w:rsidRPr="002F7934">
        <w:rPr>
          <w:rFonts w:ascii="Times New Roman" w:eastAsia="Times New Roman" w:hAnsi="Times New Roman" w:cs="Times New Roman"/>
          <w:snapToGrid w:val="0"/>
          <w:sz w:val="24"/>
          <w:szCs w:val="24"/>
          <w:lang w:eastAsia="ru-RU"/>
        </w:rPr>
        <w:t xml:space="preserve"> является подавление выработки эстрогена за счёт ингибиции ароматазы. У женщин в </w:t>
      </w:r>
      <w:proofErr w:type="spellStart"/>
      <w:r w:rsidRPr="002F7934">
        <w:rPr>
          <w:rFonts w:ascii="Times New Roman" w:eastAsia="Times New Roman" w:hAnsi="Times New Roman" w:cs="Times New Roman"/>
          <w:snapToGrid w:val="0"/>
          <w:sz w:val="24"/>
          <w:szCs w:val="24"/>
          <w:lang w:eastAsia="ru-RU"/>
        </w:rPr>
        <w:t>пременопаузе</w:t>
      </w:r>
      <w:proofErr w:type="spellEnd"/>
      <w:r w:rsidRPr="002F7934">
        <w:rPr>
          <w:rFonts w:ascii="Times New Roman" w:eastAsia="Times New Roman" w:hAnsi="Times New Roman" w:cs="Times New Roman"/>
          <w:snapToGrid w:val="0"/>
          <w:sz w:val="24"/>
          <w:szCs w:val="24"/>
          <w:lang w:eastAsia="ru-RU"/>
        </w:rPr>
        <w:t xml:space="preserve"> подавление синтеза эстрогена по механизму обратной связи повышает уровни гонадотропина ЛГ и ФСГ. В свою очередь, повышение уровня ФСГ стимулирует фолликулярный рост и может вызвать овуляцию.</w:t>
      </w:r>
    </w:p>
    <w:p w14:paraId="6EC07340" w14:textId="77777777" w:rsidR="002F7934" w:rsidRPr="002F7934" w:rsidRDefault="002F7934" w:rsidP="00F602A1">
      <w:pPr>
        <w:spacing w:after="0" w:line="240" w:lineRule="auto"/>
        <w:ind w:right="283"/>
        <w:jc w:val="both"/>
        <w:rPr>
          <w:rFonts w:ascii="Times New Roman" w:eastAsia="Times New Roman" w:hAnsi="Times New Roman" w:cs="Times New Roman"/>
          <w:b/>
          <w:sz w:val="24"/>
          <w:szCs w:val="24"/>
          <w:lang w:eastAsia="ru-RU"/>
        </w:rPr>
      </w:pPr>
    </w:p>
    <w:p w14:paraId="681260A0" w14:textId="77777777" w:rsidR="002F7934" w:rsidRPr="002F7934" w:rsidRDefault="002F7934" w:rsidP="00F602A1">
      <w:pPr>
        <w:spacing w:after="0" w:line="240" w:lineRule="auto"/>
        <w:ind w:right="283"/>
        <w:jc w:val="both"/>
        <w:rPr>
          <w:rFonts w:ascii="Times New Roman" w:eastAsia="Calibri" w:hAnsi="Times New Roman" w:cs="Times New Roman"/>
          <w:b/>
          <w:i/>
          <w:sz w:val="24"/>
          <w:szCs w:val="24"/>
        </w:rPr>
      </w:pPr>
      <w:r w:rsidRPr="002F7934">
        <w:rPr>
          <w:rFonts w:ascii="Times New Roman" w:eastAsia="Times New Roman" w:hAnsi="Times New Roman" w:cs="Times New Roman"/>
          <w:b/>
          <w:sz w:val="24"/>
          <w:szCs w:val="24"/>
          <w:lang w:eastAsia="ru-RU"/>
        </w:rPr>
        <w:t xml:space="preserve">4.7 Влияние на способность управлять транспортными средствами и </w:t>
      </w:r>
      <w:r w:rsidRPr="002F7934">
        <w:rPr>
          <w:rFonts w:ascii="Times New Roman" w:eastAsia="Calibri" w:hAnsi="Times New Roman" w:cs="Times New Roman"/>
          <w:b/>
          <w:sz w:val="24"/>
          <w:szCs w:val="24"/>
        </w:rPr>
        <w:t>потенциально опасными механизмами</w:t>
      </w:r>
      <w:r w:rsidRPr="002F7934">
        <w:rPr>
          <w:rFonts w:ascii="Times New Roman" w:eastAsia="Times New Roman" w:hAnsi="Times New Roman" w:cs="Times New Roman"/>
          <w:b/>
          <w:sz w:val="24"/>
          <w:szCs w:val="24"/>
          <w:lang w:eastAsia="ru-RU"/>
        </w:rPr>
        <w:t xml:space="preserve"> </w:t>
      </w:r>
    </w:p>
    <w:p w14:paraId="2411B610" w14:textId="12244C65" w:rsidR="002F7934" w:rsidRDefault="00BC5CE8"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proofErr w:type="spellStart"/>
      <w:r>
        <w:rPr>
          <w:rFonts w:ascii="Times New Roman" w:eastAsia="Times New Roman" w:hAnsi="Times New Roman" w:cs="Times New Roman"/>
          <w:snapToGrid w:val="0"/>
          <w:sz w:val="24"/>
          <w:szCs w:val="24"/>
          <w:lang w:eastAsia="ru-RU"/>
        </w:rPr>
        <w:t>Летро</w:t>
      </w:r>
      <w:r w:rsidR="00402E6C">
        <w:rPr>
          <w:rFonts w:ascii="Times New Roman" w:eastAsia="Times New Roman" w:hAnsi="Times New Roman" w:cs="Times New Roman"/>
          <w:snapToGrid w:val="0"/>
          <w:sz w:val="24"/>
          <w:szCs w:val="24"/>
          <w:lang w:eastAsia="ru-RU"/>
        </w:rPr>
        <w:t>зол</w:t>
      </w:r>
      <w:proofErr w:type="spellEnd"/>
      <w:r w:rsidR="002F7934" w:rsidRPr="002F7934">
        <w:rPr>
          <w:rFonts w:ascii="Times New Roman" w:eastAsia="Times New Roman" w:hAnsi="Times New Roman" w:cs="Times New Roman"/>
          <w:snapToGrid w:val="0"/>
          <w:sz w:val="24"/>
          <w:szCs w:val="24"/>
          <w:lang w:eastAsia="ru-RU"/>
        </w:rPr>
        <w:t xml:space="preserve"> в незначительной мере влияет на способность управлять транспортными средствами и на выполнение потенциально опасных видов деятельности. Во время применения </w:t>
      </w:r>
      <w:proofErr w:type="spellStart"/>
      <w:r w:rsidR="00402E6C">
        <w:rPr>
          <w:rFonts w:ascii="Times New Roman" w:eastAsia="Times New Roman" w:hAnsi="Times New Roman" w:cs="Times New Roman"/>
          <w:snapToGrid w:val="0"/>
          <w:sz w:val="24"/>
          <w:szCs w:val="24"/>
          <w:lang w:eastAsia="ru-RU"/>
        </w:rPr>
        <w:t>летрозола</w:t>
      </w:r>
      <w:proofErr w:type="spellEnd"/>
      <w:r w:rsidR="002F7934" w:rsidRPr="002F7934">
        <w:rPr>
          <w:rFonts w:ascii="Times New Roman" w:eastAsia="Times New Roman" w:hAnsi="Times New Roman" w:cs="Times New Roman"/>
          <w:snapToGrid w:val="0"/>
          <w:sz w:val="24"/>
          <w:szCs w:val="24"/>
          <w:lang w:eastAsia="ru-RU"/>
        </w:rPr>
        <w:t xml:space="preserve"> в редких случаях наблюдались утомляемость, головокружение, сонливость. В связи с этим рекомендуется соблюдение осторожности при управлении транспортными средствами и механизмами. </w:t>
      </w:r>
    </w:p>
    <w:p w14:paraId="054C5B30" w14:textId="77777777" w:rsidR="00A66C3A" w:rsidRPr="002F7934" w:rsidRDefault="00A66C3A"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p>
    <w:p w14:paraId="0114D0B1" w14:textId="77777777" w:rsidR="00055682" w:rsidRPr="00EF3322" w:rsidRDefault="00055682" w:rsidP="00F602A1">
      <w:pPr>
        <w:spacing w:after="0" w:line="240" w:lineRule="auto"/>
        <w:ind w:right="283"/>
        <w:jc w:val="both"/>
        <w:rPr>
          <w:rFonts w:ascii="Times New Roman" w:hAnsi="Times New Roman" w:cs="Times New Roman"/>
          <w:b/>
          <w:sz w:val="24"/>
          <w:szCs w:val="24"/>
        </w:rPr>
      </w:pPr>
      <w:r w:rsidRPr="00EF3322">
        <w:rPr>
          <w:rFonts w:ascii="Times New Roman" w:hAnsi="Times New Roman" w:cs="Times New Roman"/>
          <w:b/>
          <w:sz w:val="24"/>
          <w:szCs w:val="24"/>
        </w:rPr>
        <w:t>4.8. Нежелательные реакции.</w:t>
      </w:r>
    </w:p>
    <w:p w14:paraId="7AB6EDAF" w14:textId="77777777" w:rsidR="00A61D80" w:rsidRPr="00A61D80" w:rsidRDefault="00A61D80" w:rsidP="00F602A1">
      <w:pPr>
        <w:spacing w:after="0" w:line="240" w:lineRule="auto"/>
        <w:ind w:right="283"/>
        <w:jc w:val="both"/>
        <w:rPr>
          <w:rFonts w:ascii="Times New Roman" w:eastAsia="Calibri" w:hAnsi="Times New Roman" w:cs="Times New Roman"/>
          <w:i/>
          <w:iCs/>
          <w:sz w:val="24"/>
          <w:szCs w:val="24"/>
        </w:rPr>
      </w:pPr>
      <w:r w:rsidRPr="00A61D80">
        <w:rPr>
          <w:rFonts w:ascii="Times New Roman" w:eastAsia="Calibri" w:hAnsi="Times New Roman" w:cs="Times New Roman"/>
          <w:i/>
          <w:iCs/>
          <w:sz w:val="24"/>
          <w:szCs w:val="24"/>
        </w:rPr>
        <w:t>Резюме нежелательных реакций</w:t>
      </w:r>
    </w:p>
    <w:p w14:paraId="56C957A5" w14:textId="77777777" w:rsidR="00A61D80" w:rsidRPr="00A61D80" w:rsidRDefault="00A61D80" w:rsidP="00F602A1">
      <w:pPr>
        <w:spacing w:after="0" w:line="240" w:lineRule="auto"/>
        <w:ind w:right="283"/>
        <w:jc w:val="both"/>
        <w:rPr>
          <w:rFonts w:ascii="Times New Roman" w:eastAsia="Calibri" w:hAnsi="Times New Roman" w:cs="Times New Roman"/>
          <w:sz w:val="24"/>
          <w:szCs w:val="24"/>
        </w:rPr>
      </w:pPr>
      <w:r w:rsidRPr="00A61D80">
        <w:rPr>
          <w:rFonts w:ascii="Times New Roman" w:eastAsia="Calibri" w:hAnsi="Times New Roman" w:cs="Times New Roman"/>
          <w:sz w:val="24"/>
          <w:szCs w:val="24"/>
        </w:rPr>
        <w:t>Частота нежелательных реакций в основном, основана на данных клинических исследований.</w:t>
      </w:r>
    </w:p>
    <w:p w14:paraId="05344590" w14:textId="30D6F4B6" w:rsidR="00A61D80" w:rsidRPr="00A61D80" w:rsidRDefault="00A61D80" w:rsidP="00F602A1">
      <w:pPr>
        <w:spacing w:after="0" w:line="240" w:lineRule="auto"/>
        <w:ind w:right="283"/>
        <w:jc w:val="both"/>
        <w:rPr>
          <w:rFonts w:ascii="Times New Roman" w:eastAsia="Times New Roman" w:hAnsi="Times New Roman" w:cs="Times New Roman"/>
          <w:snapToGrid w:val="0"/>
          <w:sz w:val="24"/>
          <w:szCs w:val="24"/>
          <w:lang w:eastAsia="ru-RU"/>
        </w:rPr>
      </w:pPr>
      <w:r w:rsidRPr="00A61D80">
        <w:rPr>
          <w:rFonts w:ascii="Times New Roman" w:eastAsia="Calibri" w:hAnsi="Times New Roman" w:cs="Times New Roman"/>
          <w:sz w:val="24"/>
          <w:szCs w:val="24"/>
        </w:rPr>
        <w:t>Нежелательные реакции наблюдались примерно у одной трети пациенток с распространенными формами рака молочной железы. Нежелательные реакции наблюдались у 80% пациенток</w:t>
      </w:r>
      <w:r>
        <w:rPr>
          <w:rFonts w:ascii="Times New Roman" w:eastAsia="Calibri" w:hAnsi="Times New Roman" w:cs="Times New Roman"/>
          <w:sz w:val="24"/>
          <w:szCs w:val="24"/>
        </w:rPr>
        <w:t>,</w:t>
      </w:r>
      <w:r w:rsidRPr="00A61D80">
        <w:rPr>
          <w:rFonts w:ascii="Times New Roman" w:eastAsia="Calibri" w:hAnsi="Times New Roman" w:cs="Times New Roman"/>
          <w:sz w:val="24"/>
          <w:szCs w:val="24"/>
        </w:rPr>
        <w:t xml:space="preserve"> получавших </w:t>
      </w:r>
      <w:proofErr w:type="spellStart"/>
      <w:r w:rsidRPr="00A61D80">
        <w:rPr>
          <w:rFonts w:ascii="Times New Roman" w:eastAsia="Times New Roman" w:hAnsi="Times New Roman" w:cs="Times New Roman"/>
          <w:snapToGrid w:val="0"/>
          <w:sz w:val="24"/>
          <w:szCs w:val="24"/>
          <w:lang w:eastAsia="ru-RU"/>
        </w:rPr>
        <w:t>адъювантную</w:t>
      </w:r>
      <w:proofErr w:type="spellEnd"/>
      <w:r w:rsidRPr="00A61D80">
        <w:rPr>
          <w:rFonts w:ascii="Times New Roman" w:eastAsia="Times New Roman" w:hAnsi="Times New Roman" w:cs="Times New Roman"/>
          <w:snapToGrid w:val="0"/>
          <w:sz w:val="24"/>
          <w:szCs w:val="24"/>
          <w:lang w:eastAsia="ru-RU"/>
        </w:rPr>
        <w:t xml:space="preserve"> терапию и</w:t>
      </w:r>
      <w:r w:rsidRPr="00A61D80">
        <w:rPr>
          <w:rFonts w:ascii="Times New Roman" w:eastAsia="Calibri" w:hAnsi="Times New Roman" w:cs="Times New Roman"/>
          <w:sz w:val="24"/>
          <w:szCs w:val="24"/>
        </w:rPr>
        <w:t xml:space="preserve"> расширенную</w:t>
      </w:r>
      <w:r w:rsidRPr="00A61D80">
        <w:rPr>
          <w:rFonts w:ascii="Times New Roman" w:eastAsia="Times New Roman" w:hAnsi="Times New Roman" w:cs="Times New Roman"/>
          <w:snapToGrid w:val="0"/>
          <w:sz w:val="24"/>
          <w:szCs w:val="24"/>
          <w:lang w:eastAsia="ru-RU"/>
        </w:rPr>
        <w:t xml:space="preserve"> </w:t>
      </w:r>
      <w:proofErr w:type="spellStart"/>
      <w:r w:rsidRPr="00A61D80">
        <w:rPr>
          <w:rFonts w:ascii="Times New Roman" w:eastAsia="Times New Roman" w:hAnsi="Times New Roman" w:cs="Times New Roman"/>
          <w:snapToGrid w:val="0"/>
          <w:sz w:val="24"/>
          <w:szCs w:val="24"/>
          <w:lang w:eastAsia="ru-RU"/>
        </w:rPr>
        <w:t>адъювантную</w:t>
      </w:r>
      <w:proofErr w:type="spellEnd"/>
      <w:r w:rsidRPr="00A61D80">
        <w:rPr>
          <w:rFonts w:ascii="Times New Roman" w:eastAsia="Times New Roman" w:hAnsi="Times New Roman" w:cs="Times New Roman"/>
          <w:snapToGrid w:val="0"/>
          <w:sz w:val="24"/>
          <w:szCs w:val="24"/>
          <w:lang w:eastAsia="ru-RU"/>
        </w:rPr>
        <w:t xml:space="preserve"> терапию. Большинство побочных реакций наблюдалось в первые недели лечения.</w:t>
      </w:r>
    </w:p>
    <w:p w14:paraId="415D5903" w14:textId="77777777" w:rsidR="00A61D80" w:rsidRPr="00A61D80" w:rsidRDefault="00A61D80" w:rsidP="00F602A1">
      <w:pPr>
        <w:spacing w:after="0" w:line="240" w:lineRule="auto"/>
        <w:ind w:right="283"/>
        <w:jc w:val="both"/>
        <w:rPr>
          <w:rFonts w:ascii="Times New Roman" w:eastAsia="Times New Roman" w:hAnsi="Times New Roman" w:cs="Times New Roman"/>
          <w:snapToGrid w:val="0"/>
          <w:sz w:val="24"/>
          <w:szCs w:val="24"/>
          <w:lang w:eastAsia="ru-RU"/>
        </w:rPr>
      </w:pPr>
      <w:r w:rsidRPr="00A61D80">
        <w:rPr>
          <w:rFonts w:ascii="Times New Roman" w:eastAsia="Times New Roman" w:hAnsi="Times New Roman" w:cs="Times New Roman"/>
          <w:snapToGrid w:val="0"/>
          <w:sz w:val="24"/>
          <w:szCs w:val="24"/>
          <w:lang w:eastAsia="ru-RU"/>
        </w:rPr>
        <w:t xml:space="preserve">В клинических исследованиях наиболее часто встречались следующие побочные реакции: горячие приливы, </w:t>
      </w:r>
      <w:proofErr w:type="spellStart"/>
      <w:r w:rsidRPr="00A61D80">
        <w:rPr>
          <w:rFonts w:ascii="Times New Roman" w:eastAsia="Times New Roman" w:hAnsi="Times New Roman" w:cs="Times New Roman"/>
          <w:snapToGrid w:val="0"/>
          <w:sz w:val="24"/>
          <w:szCs w:val="24"/>
          <w:lang w:eastAsia="ru-RU"/>
        </w:rPr>
        <w:t>гиперхолестеринемия</w:t>
      </w:r>
      <w:proofErr w:type="spellEnd"/>
      <w:r w:rsidRPr="00A61D80">
        <w:rPr>
          <w:rFonts w:ascii="Times New Roman" w:eastAsia="Times New Roman" w:hAnsi="Times New Roman" w:cs="Times New Roman"/>
          <w:snapToGrid w:val="0"/>
          <w:sz w:val="24"/>
          <w:szCs w:val="24"/>
          <w:lang w:eastAsia="ru-RU"/>
        </w:rPr>
        <w:t>, артралгия, усталость, повышенная потливость и тошнота.</w:t>
      </w:r>
    </w:p>
    <w:p w14:paraId="352CAEAB" w14:textId="77777777" w:rsidR="00A61D80" w:rsidRPr="00A61D80" w:rsidRDefault="00A61D80" w:rsidP="00F602A1">
      <w:pPr>
        <w:spacing w:after="0" w:line="240" w:lineRule="auto"/>
        <w:ind w:right="283"/>
        <w:jc w:val="both"/>
        <w:rPr>
          <w:rFonts w:ascii="Times New Roman" w:eastAsia="Times New Roman" w:hAnsi="Times New Roman" w:cs="Times New Roman"/>
          <w:snapToGrid w:val="0"/>
          <w:sz w:val="24"/>
          <w:szCs w:val="24"/>
          <w:lang w:eastAsia="ru-RU"/>
        </w:rPr>
      </w:pPr>
      <w:r w:rsidRPr="00A61D80">
        <w:rPr>
          <w:rFonts w:ascii="Times New Roman" w:eastAsia="Times New Roman" w:hAnsi="Times New Roman" w:cs="Times New Roman"/>
          <w:snapToGrid w:val="0"/>
          <w:sz w:val="24"/>
          <w:szCs w:val="24"/>
          <w:lang w:eastAsia="ru-RU"/>
        </w:rPr>
        <w:lastRenderedPageBreak/>
        <w:t xml:space="preserve">К другим важным побочным реакциям, которые могут развиться на фоне лечения </w:t>
      </w:r>
      <w:proofErr w:type="spellStart"/>
      <w:r w:rsidRPr="00A61D80">
        <w:rPr>
          <w:rFonts w:ascii="Times New Roman" w:eastAsia="Times New Roman" w:hAnsi="Times New Roman" w:cs="Times New Roman"/>
          <w:snapToGrid w:val="0"/>
          <w:sz w:val="24"/>
          <w:szCs w:val="24"/>
          <w:lang w:eastAsia="ru-RU"/>
        </w:rPr>
        <w:t>летрозолом</w:t>
      </w:r>
      <w:proofErr w:type="spellEnd"/>
      <w:r w:rsidRPr="00A61D80">
        <w:rPr>
          <w:rFonts w:ascii="Times New Roman" w:eastAsia="Times New Roman" w:hAnsi="Times New Roman" w:cs="Times New Roman"/>
          <w:snapToGrid w:val="0"/>
          <w:sz w:val="24"/>
          <w:szCs w:val="24"/>
          <w:lang w:eastAsia="ru-RU"/>
        </w:rPr>
        <w:t>, относятся: нарушения со стороны скелетно-мышечной системы, такие как остеопороз и/или переломы костей и нарушения со стороны сердечно-сосудистой системы, включая нарушения мозгового кровообращения и тромбоэмболию.</w:t>
      </w:r>
    </w:p>
    <w:p w14:paraId="0E35A327" w14:textId="77777777" w:rsidR="00A61D80" w:rsidRPr="00A61D80" w:rsidRDefault="00A61D80" w:rsidP="00F602A1">
      <w:pPr>
        <w:spacing w:after="0" w:line="240" w:lineRule="auto"/>
        <w:ind w:right="283"/>
        <w:jc w:val="both"/>
        <w:rPr>
          <w:rFonts w:ascii="Times New Roman" w:eastAsia="Calibri" w:hAnsi="Times New Roman" w:cs="Times New Roman"/>
          <w:i/>
          <w:iCs/>
          <w:sz w:val="24"/>
          <w:szCs w:val="24"/>
        </w:rPr>
      </w:pPr>
      <w:r w:rsidRPr="00A61D80">
        <w:rPr>
          <w:rFonts w:ascii="Times New Roman" w:eastAsia="Calibri" w:hAnsi="Times New Roman" w:cs="Times New Roman"/>
          <w:i/>
          <w:iCs/>
          <w:sz w:val="24"/>
          <w:szCs w:val="24"/>
        </w:rPr>
        <w:t>Резюме нежелательных реакций в табличной форме</w:t>
      </w:r>
    </w:p>
    <w:p w14:paraId="3AC0B828" w14:textId="77777777" w:rsidR="00A61D80" w:rsidRPr="00A61D80" w:rsidRDefault="00A61D80" w:rsidP="00F602A1">
      <w:pPr>
        <w:spacing w:after="0" w:line="240" w:lineRule="auto"/>
        <w:ind w:right="283"/>
        <w:jc w:val="both"/>
        <w:rPr>
          <w:rFonts w:ascii="Times New Roman" w:eastAsia="Calibri" w:hAnsi="Times New Roman" w:cs="Times New Roman"/>
          <w:b/>
          <w:bCs/>
          <w:sz w:val="24"/>
          <w:szCs w:val="24"/>
        </w:rPr>
      </w:pPr>
      <w:r w:rsidRPr="00A61D80">
        <w:rPr>
          <w:rFonts w:ascii="Times New Roman" w:eastAsia="Calibri" w:hAnsi="Times New Roman" w:cs="Times New Roman"/>
          <w:b/>
          <w:bCs/>
          <w:sz w:val="24"/>
          <w:szCs w:val="24"/>
        </w:rPr>
        <w:t>Таблица 1</w:t>
      </w:r>
    </w:p>
    <w:p w14:paraId="0E6597B9" w14:textId="77777777" w:rsidR="00A61D80" w:rsidRPr="00A61D80" w:rsidRDefault="00A61D80" w:rsidP="00F602A1">
      <w:pPr>
        <w:spacing w:after="0" w:line="240" w:lineRule="auto"/>
        <w:ind w:right="283"/>
        <w:jc w:val="both"/>
        <w:rPr>
          <w:rFonts w:ascii="Times New Roman" w:eastAsia="Calibri" w:hAnsi="Times New Roman" w:cs="Times New Roman"/>
          <w:i/>
          <w:iCs/>
          <w:sz w:val="24"/>
          <w:szCs w:val="24"/>
        </w:rPr>
      </w:pPr>
      <w:r w:rsidRPr="00A61D80">
        <w:rPr>
          <w:rFonts w:ascii="Times New Roman" w:eastAsia="Calibri" w:hAnsi="Times New Roman" w:cs="Times New Roman"/>
          <w:sz w:val="24"/>
          <w:szCs w:val="24"/>
        </w:rPr>
        <w:t>Количественные критерии частоты нежелательных реакций и классификация нежелательных реакций в соответствии с системно-органной классификацией и с частотой их возникновения</w:t>
      </w:r>
      <w:r w:rsidRPr="00A61D80">
        <w:rPr>
          <w:rFonts w:ascii="Times New Roman" w:eastAsia="Calibri" w:hAnsi="Times New Roman" w:cs="Times New Roman"/>
          <w:i/>
          <w:iCs/>
          <w:sz w:val="24"/>
          <w:szCs w:val="24"/>
        </w:rPr>
        <w:t xml:space="preserve"> (</w:t>
      </w:r>
      <w:r w:rsidRPr="00A61D80">
        <w:rPr>
          <w:rFonts w:ascii="Times New Roman" w:eastAsia="Calibri" w:hAnsi="Times New Roman" w:cs="Times New Roman"/>
          <w:bCs/>
          <w:i/>
          <w:iCs/>
          <w:sz w:val="24"/>
          <w:szCs w:val="24"/>
        </w:rPr>
        <w:t>Определение частоты побочных явлений проводится в соответствии со следующими критериями: очень часто (≥ 1/10), часто (≥ от 1/100 до &lt; 1/10), нечасто (≥ от 1/1000 до &lt; 1/100), редко (≥ 1/10000 до  &lt; 1/1000), очень редко (&lt; 1/10000),</w:t>
      </w:r>
      <w:r w:rsidRPr="00A61D80">
        <w:rPr>
          <w:rFonts w:ascii="Times New Roman" w:eastAsia="Calibri" w:hAnsi="Times New Roman" w:cs="Times New Roman"/>
          <w:i/>
          <w:iCs/>
          <w:sz w:val="24"/>
          <w:szCs w:val="24"/>
        </w:rPr>
        <w:t xml:space="preserve"> неизвестно (невозможно оценить на основании имеющихся данных)</w:t>
      </w:r>
    </w:p>
    <w:p w14:paraId="6A7A48BB" w14:textId="77777777" w:rsidR="00A61D80" w:rsidRPr="00A61D80" w:rsidRDefault="00A61D80" w:rsidP="00F602A1">
      <w:pPr>
        <w:spacing w:after="0" w:line="240" w:lineRule="auto"/>
        <w:ind w:right="283"/>
        <w:jc w:val="both"/>
        <w:rPr>
          <w:rFonts w:ascii="Times New Roman" w:eastAsia="Calibri" w:hAnsi="Times New Roman" w:cs="Times New Roman"/>
          <w:sz w:val="24"/>
          <w:szCs w:val="24"/>
        </w:rPr>
      </w:pPr>
      <w:r w:rsidRPr="00A61D80">
        <w:rPr>
          <w:rFonts w:ascii="Times New Roman" w:eastAsia="Calibri" w:hAnsi="Times New Roman" w:cs="Times New Roman"/>
          <w:sz w:val="24"/>
          <w:szCs w:val="24"/>
        </w:rPr>
        <w:t>Нежелательные реакции, приведенные в таблице 1, наблюдались в клинических исследованиях и в пострегистрационном периоде.</w:t>
      </w:r>
    </w:p>
    <w:p w14:paraId="7045146F" w14:textId="77777777" w:rsidR="00A61D80" w:rsidRPr="00A61D80" w:rsidRDefault="00A61D80" w:rsidP="00F602A1">
      <w:pPr>
        <w:spacing w:after="0" w:line="240" w:lineRule="auto"/>
        <w:ind w:right="283"/>
        <w:rPr>
          <w:rFonts w:ascii="Times New Roman" w:eastAsia="Times New Roman" w:hAnsi="Times New Roman" w:cs="Times New Roman"/>
          <w:i/>
          <w:iCs/>
          <w:snapToGrid w:val="0"/>
          <w:sz w:val="24"/>
          <w:szCs w:val="24"/>
          <w:lang w:eastAsia="ru-RU"/>
        </w:rPr>
      </w:pPr>
      <w:r w:rsidRPr="00A61D80">
        <w:rPr>
          <w:rFonts w:ascii="Times New Roman" w:eastAsia="Times New Roman" w:hAnsi="Times New Roman" w:cs="Times New Roman"/>
          <w:i/>
          <w:iCs/>
          <w:snapToGrid w:val="0"/>
          <w:sz w:val="24"/>
          <w:szCs w:val="24"/>
          <w:lang w:eastAsia="ru-RU"/>
        </w:rPr>
        <w:t xml:space="preserve">Инфекционные и паразитарные заболевания </w:t>
      </w:r>
    </w:p>
    <w:p w14:paraId="252DD2BF" w14:textId="77777777" w:rsidR="00A61D80" w:rsidRPr="00A61D80" w:rsidRDefault="00A61D80" w:rsidP="00F602A1">
      <w:pPr>
        <w:spacing w:after="0" w:line="240" w:lineRule="auto"/>
        <w:ind w:right="283"/>
        <w:rPr>
          <w:rFonts w:ascii="Times New Roman" w:eastAsia="Times New Roman" w:hAnsi="Times New Roman" w:cs="Times New Roman"/>
          <w:snapToGrid w:val="0"/>
          <w:sz w:val="24"/>
          <w:szCs w:val="24"/>
          <w:lang w:eastAsia="ru-RU"/>
        </w:rPr>
      </w:pPr>
      <w:r w:rsidRPr="00A61D80">
        <w:rPr>
          <w:rFonts w:ascii="Times New Roman" w:eastAsia="Times New Roman" w:hAnsi="Times New Roman" w:cs="Times New Roman"/>
          <w:snapToGrid w:val="0"/>
          <w:sz w:val="24"/>
          <w:szCs w:val="24"/>
          <w:lang w:eastAsia="ru-RU"/>
        </w:rPr>
        <w:t xml:space="preserve">нечасто: </w:t>
      </w:r>
      <w:r w:rsidRPr="00A61D80">
        <w:rPr>
          <w:rFonts w:ascii="Times New Roman" w:eastAsia="Times New Roman" w:hAnsi="Times New Roman" w:cs="Times New Roman"/>
          <w:snapToGrid w:val="0"/>
          <w:sz w:val="24"/>
          <w:szCs w:val="24"/>
          <w:lang w:eastAsia="ru-RU"/>
        </w:rPr>
        <w:tab/>
      </w:r>
      <w:r w:rsidRPr="00A61D80">
        <w:rPr>
          <w:rFonts w:ascii="Times New Roman" w:eastAsia="Times New Roman" w:hAnsi="Times New Roman" w:cs="Times New Roman"/>
          <w:snapToGrid w:val="0"/>
          <w:sz w:val="24"/>
          <w:szCs w:val="24"/>
          <w:lang w:eastAsia="ru-RU"/>
        </w:rPr>
        <w:tab/>
        <w:t xml:space="preserve">инфекция мочевыводящих путей </w:t>
      </w:r>
    </w:p>
    <w:p w14:paraId="69FABCEE" w14:textId="77777777" w:rsidR="00A61D80" w:rsidRPr="00A61D80" w:rsidRDefault="00A61D80" w:rsidP="00F602A1">
      <w:pPr>
        <w:spacing w:after="0" w:line="240" w:lineRule="auto"/>
        <w:ind w:right="283"/>
        <w:rPr>
          <w:rFonts w:ascii="Times New Roman" w:eastAsia="Times New Roman" w:hAnsi="Times New Roman" w:cs="Times New Roman"/>
          <w:i/>
          <w:iCs/>
          <w:snapToGrid w:val="0"/>
          <w:sz w:val="24"/>
          <w:szCs w:val="24"/>
          <w:lang w:eastAsia="ru-RU"/>
        </w:rPr>
      </w:pPr>
      <w:r w:rsidRPr="00A61D80">
        <w:rPr>
          <w:rFonts w:ascii="Times New Roman" w:eastAsia="Times New Roman" w:hAnsi="Times New Roman" w:cs="Times New Roman"/>
          <w:i/>
          <w:iCs/>
          <w:snapToGrid w:val="0"/>
          <w:sz w:val="24"/>
          <w:szCs w:val="24"/>
          <w:lang w:eastAsia="ru-RU"/>
        </w:rPr>
        <w:t xml:space="preserve">Новообразования доброкачественные, злокачественные и неуточненные (в том числе кисты и полипы) </w:t>
      </w:r>
    </w:p>
    <w:p w14:paraId="532EE49B" w14:textId="77777777" w:rsidR="00A61D80" w:rsidRPr="00A61D80" w:rsidRDefault="00A61D80" w:rsidP="00F602A1">
      <w:pPr>
        <w:spacing w:after="0" w:line="240" w:lineRule="auto"/>
        <w:ind w:right="283"/>
        <w:rPr>
          <w:rFonts w:ascii="Times New Roman" w:eastAsia="Times New Roman" w:hAnsi="Times New Roman" w:cs="Times New Roman"/>
          <w:snapToGrid w:val="0"/>
          <w:sz w:val="24"/>
          <w:szCs w:val="24"/>
          <w:lang w:eastAsia="ru-RU"/>
        </w:rPr>
      </w:pPr>
      <w:r w:rsidRPr="00A61D80">
        <w:rPr>
          <w:rFonts w:ascii="Times New Roman" w:eastAsia="Times New Roman" w:hAnsi="Times New Roman" w:cs="Times New Roman"/>
          <w:snapToGrid w:val="0"/>
          <w:sz w:val="24"/>
          <w:szCs w:val="24"/>
          <w:lang w:eastAsia="ru-RU"/>
        </w:rPr>
        <w:t xml:space="preserve">нечасто: </w:t>
      </w:r>
      <w:r w:rsidRPr="00A61D80">
        <w:rPr>
          <w:rFonts w:ascii="Times New Roman" w:eastAsia="Times New Roman" w:hAnsi="Times New Roman" w:cs="Times New Roman"/>
          <w:snapToGrid w:val="0"/>
          <w:sz w:val="24"/>
          <w:szCs w:val="24"/>
          <w:lang w:eastAsia="ru-RU"/>
        </w:rPr>
        <w:tab/>
      </w:r>
      <w:r w:rsidRPr="00A61D80">
        <w:rPr>
          <w:rFonts w:ascii="Times New Roman" w:eastAsia="Times New Roman" w:hAnsi="Times New Roman" w:cs="Times New Roman"/>
          <w:snapToGrid w:val="0"/>
          <w:sz w:val="24"/>
          <w:szCs w:val="24"/>
          <w:lang w:eastAsia="ru-RU"/>
        </w:rPr>
        <w:tab/>
        <w:t>боль в месте расположения опухоли</w:t>
      </w:r>
      <w:r w:rsidRPr="00A61D80">
        <w:rPr>
          <w:rFonts w:ascii="Times New Roman" w:eastAsia="Times New Roman" w:hAnsi="Times New Roman" w:cs="Times New Roman"/>
          <w:snapToGrid w:val="0"/>
          <w:sz w:val="24"/>
          <w:szCs w:val="24"/>
          <w:vertAlign w:val="superscript"/>
          <w:lang w:eastAsia="ru-RU"/>
        </w:rPr>
        <w:t>1</w:t>
      </w:r>
      <w:r w:rsidRPr="00A61D80">
        <w:rPr>
          <w:rFonts w:ascii="Times New Roman" w:eastAsia="Times New Roman" w:hAnsi="Times New Roman" w:cs="Times New Roman"/>
          <w:snapToGrid w:val="0"/>
          <w:sz w:val="24"/>
          <w:szCs w:val="24"/>
          <w:lang w:eastAsia="ru-RU"/>
        </w:rPr>
        <w:t xml:space="preserve"> </w:t>
      </w:r>
    </w:p>
    <w:p w14:paraId="4904E899" w14:textId="77777777" w:rsidR="00A61D80" w:rsidRPr="00A61D80" w:rsidRDefault="00A61D80" w:rsidP="00F602A1">
      <w:pPr>
        <w:spacing w:after="0" w:line="240" w:lineRule="auto"/>
        <w:ind w:right="283"/>
        <w:rPr>
          <w:rFonts w:ascii="Times New Roman" w:eastAsia="Times New Roman" w:hAnsi="Times New Roman" w:cs="Times New Roman"/>
          <w:i/>
          <w:iCs/>
          <w:snapToGrid w:val="0"/>
          <w:sz w:val="24"/>
          <w:szCs w:val="24"/>
          <w:lang w:eastAsia="ru-RU"/>
        </w:rPr>
      </w:pPr>
      <w:r w:rsidRPr="00A61D80">
        <w:rPr>
          <w:rFonts w:ascii="Times New Roman" w:eastAsia="Times New Roman" w:hAnsi="Times New Roman" w:cs="Times New Roman"/>
          <w:i/>
          <w:iCs/>
          <w:snapToGrid w:val="0"/>
          <w:sz w:val="24"/>
          <w:szCs w:val="24"/>
          <w:lang w:eastAsia="ru-RU"/>
        </w:rPr>
        <w:t xml:space="preserve">Нарушения со стороны крови и лимфы </w:t>
      </w:r>
    </w:p>
    <w:p w14:paraId="5C5C0AB3" w14:textId="77777777" w:rsidR="00A61D80" w:rsidRPr="00A61D80" w:rsidRDefault="00A61D80" w:rsidP="00F602A1">
      <w:pPr>
        <w:spacing w:after="0" w:line="240" w:lineRule="auto"/>
        <w:ind w:right="283"/>
        <w:rPr>
          <w:rFonts w:ascii="Times New Roman" w:eastAsia="Times New Roman" w:hAnsi="Times New Roman" w:cs="Times New Roman"/>
          <w:snapToGrid w:val="0"/>
          <w:sz w:val="24"/>
          <w:szCs w:val="24"/>
          <w:lang w:eastAsia="ru-RU"/>
        </w:rPr>
      </w:pPr>
      <w:r w:rsidRPr="00A61D80">
        <w:rPr>
          <w:rFonts w:ascii="Times New Roman" w:eastAsia="Times New Roman" w:hAnsi="Times New Roman" w:cs="Times New Roman"/>
          <w:snapToGrid w:val="0"/>
          <w:sz w:val="24"/>
          <w:szCs w:val="24"/>
          <w:lang w:eastAsia="ru-RU"/>
        </w:rPr>
        <w:t xml:space="preserve">нечасто: </w:t>
      </w:r>
      <w:r w:rsidRPr="00A61D80">
        <w:rPr>
          <w:rFonts w:ascii="Times New Roman" w:eastAsia="Times New Roman" w:hAnsi="Times New Roman" w:cs="Times New Roman"/>
          <w:snapToGrid w:val="0"/>
          <w:sz w:val="24"/>
          <w:szCs w:val="24"/>
          <w:lang w:eastAsia="ru-RU"/>
        </w:rPr>
        <w:tab/>
      </w:r>
      <w:r w:rsidRPr="00A61D80">
        <w:rPr>
          <w:rFonts w:ascii="Times New Roman" w:eastAsia="Times New Roman" w:hAnsi="Times New Roman" w:cs="Times New Roman"/>
          <w:snapToGrid w:val="0"/>
          <w:sz w:val="24"/>
          <w:szCs w:val="24"/>
          <w:lang w:eastAsia="ru-RU"/>
        </w:rPr>
        <w:tab/>
        <w:t xml:space="preserve">лейкопения </w:t>
      </w:r>
    </w:p>
    <w:p w14:paraId="52135C0E" w14:textId="77777777" w:rsidR="00A61D80" w:rsidRPr="00A61D80" w:rsidRDefault="00A61D80" w:rsidP="00F602A1">
      <w:pPr>
        <w:spacing w:after="0" w:line="240" w:lineRule="auto"/>
        <w:ind w:right="283"/>
        <w:rPr>
          <w:rFonts w:ascii="Times New Roman" w:eastAsia="Times New Roman" w:hAnsi="Times New Roman" w:cs="Times New Roman"/>
          <w:i/>
          <w:iCs/>
          <w:snapToGrid w:val="0"/>
          <w:sz w:val="24"/>
          <w:szCs w:val="24"/>
          <w:lang w:eastAsia="ru-RU"/>
        </w:rPr>
      </w:pPr>
      <w:r w:rsidRPr="00A61D80">
        <w:rPr>
          <w:rFonts w:ascii="Times New Roman" w:eastAsia="Times New Roman" w:hAnsi="Times New Roman" w:cs="Times New Roman"/>
          <w:i/>
          <w:iCs/>
          <w:snapToGrid w:val="0"/>
          <w:sz w:val="24"/>
          <w:szCs w:val="24"/>
          <w:lang w:eastAsia="ru-RU"/>
        </w:rPr>
        <w:t>Нарушения со стороны иммунной системы</w:t>
      </w:r>
    </w:p>
    <w:p w14:paraId="4BBF558F" w14:textId="77777777" w:rsidR="00A61D80" w:rsidRPr="00A61D80" w:rsidRDefault="00A61D80" w:rsidP="00F602A1">
      <w:pPr>
        <w:spacing w:after="0" w:line="240" w:lineRule="auto"/>
        <w:ind w:right="283"/>
        <w:rPr>
          <w:rFonts w:ascii="Times New Roman" w:eastAsia="Times New Roman" w:hAnsi="Times New Roman" w:cs="Times New Roman"/>
          <w:snapToGrid w:val="0"/>
          <w:sz w:val="24"/>
          <w:szCs w:val="24"/>
          <w:lang w:eastAsia="ru-RU"/>
        </w:rPr>
      </w:pPr>
      <w:r w:rsidRPr="00A61D80">
        <w:rPr>
          <w:rFonts w:ascii="Times New Roman" w:eastAsia="Times New Roman" w:hAnsi="Times New Roman" w:cs="Times New Roman"/>
          <w:snapToGrid w:val="0"/>
          <w:sz w:val="24"/>
          <w:szCs w:val="24"/>
          <w:lang w:eastAsia="ru-RU"/>
        </w:rPr>
        <w:t>частота неизвестна:</w:t>
      </w:r>
      <w:r w:rsidRPr="00A61D80">
        <w:rPr>
          <w:rFonts w:ascii="Times New Roman" w:eastAsia="Times New Roman" w:hAnsi="Times New Roman" w:cs="Times New Roman"/>
          <w:snapToGrid w:val="0"/>
          <w:sz w:val="24"/>
          <w:szCs w:val="24"/>
          <w:lang w:eastAsia="ru-RU"/>
        </w:rPr>
        <w:tab/>
        <w:t>анафилактическая реакция</w:t>
      </w:r>
    </w:p>
    <w:p w14:paraId="06422BF0" w14:textId="77777777" w:rsidR="00A61D80" w:rsidRPr="00A61D80" w:rsidRDefault="00A61D80" w:rsidP="00F602A1">
      <w:pPr>
        <w:spacing w:after="0" w:line="240" w:lineRule="auto"/>
        <w:ind w:right="283"/>
        <w:rPr>
          <w:rFonts w:ascii="Times New Roman" w:eastAsia="Times New Roman" w:hAnsi="Times New Roman" w:cs="Times New Roman"/>
          <w:i/>
          <w:iCs/>
          <w:snapToGrid w:val="0"/>
          <w:sz w:val="24"/>
          <w:szCs w:val="24"/>
          <w:lang w:eastAsia="ru-RU"/>
        </w:rPr>
      </w:pPr>
      <w:r w:rsidRPr="00A61D80">
        <w:rPr>
          <w:rFonts w:ascii="Times New Roman" w:eastAsia="Times New Roman" w:hAnsi="Times New Roman" w:cs="Times New Roman"/>
          <w:i/>
          <w:iCs/>
          <w:snapToGrid w:val="0"/>
          <w:sz w:val="24"/>
          <w:szCs w:val="24"/>
          <w:lang w:eastAsia="ru-RU"/>
        </w:rPr>
        <w:t xml:space="preserve">Нарушения со стороны метаболизма и питания </w:t>
      </w:r>
    </w:p>
    <w:p w14:paraId="339C59A0" w14:textId="77777777" w:rsidR="00A61D80" w:rsidRPr="00A61D80" w:rsidRDefault="00A61D80" w:rsidP="00F602A1">
      <w:pPr>
        <w:spacing w:after="0" w:line="240" w:lineRule="auto"/>
        <w:ind w:right="283"/>
        <w:rPr>
          <w:rFonts w:ascii="Times New Roman" w:eastAsia="Times New Roman" w:hAnsi="Times New Roman" w:cs="Times New Roman"/>
          <w:snapToGrid w:val="0"/>
          <w:sz w:val="24"/>
          <w:szCs w:val="24"/>
          <w:lang w:eastAsia="ru-RU"/>
        </w:rPr>
      </w:pPr>
      <w:r w:rsidRPr="00A61D80">
        <w:rPr>
          <w:rFonts w:ascii="Times New Roman" w:eastAsia="Times New Roman" w:hAnsi="Times New Roman" w:cs="Times New Roman"/>
          <w:snapToGrid w:val="0"/>
          <w:sz w:val="24"/>
          <w:szCs w:val="24"/>
          <w:lang w:eastAsia="ru-RU"/>
        </w:rPr>
        <w:t xml:space="preserve">очень часто: </w:t>
      </w:r>
      <w:r w:rsidRPr="00A61D80">
        <w:rPr>
          <w:rFonts w:ascii="Times New Roman" w:eastAsia="Times New Roman" w:hAnsi="Times New Roman" w:cs="Times New Roman"/>
          <w:snapToGrid w:val="0"/>
          <w:sz w:val="24"/>
          <w:szCs w:val="24"/>
          <w:lang w:eastAsia="ru-RU"/>
        </w:rPr>
        <w:tab/>
      </w:r>
      <w:r w:rsidRPr="00A61D80">
        <w:rPr>
          <w:rFonts w:ascii="Times New Roman" w:eastAsia="Times New Roman" w:hAnsi="Times New Roman" w:cs="Times New Roman"/>
          <w:snapToGrid w:val="0"/>
          <w:sz w:val="24"/>
          <w:szCs w:val="24"/>
          <w:lang w:eastAsia="ru-RU"/>
        </w:rPr>
        <w:tab/>
      </w:r>
      <w:proofErr w:type="spellStart"/>
      <w:r w:rsidRPr="00A61D80">
        <w:rPr>
          <w:rFonts w:ascii="Times New Roman" w:eastAsia="Times New Roman" w:hAnsi="Times New Roman" w:cs="Times New Roman"/>
          <w:snapToGrid w:val="0"/>
          <w:sz w:val="24"/>
          <w:szCs w:val="24"/>
          <w:lang w:eastAsia="ru-RU"/>
        </w:rPr>
        <w:t>гиперхолестеринемия</w:t>
      </w:r>
      <w:proofErr w:type="spellEnd"/>
    </w:p>
    <w:p w14:paraId="102714E3" w14:textId="77777777" w:rsidR="00A61D80" w:rsidRPr="00A61D80" w:rsidRDefault="00A61D80" w:rsidP="00F602A1">
      <w:pPr>
        <w:spacing w:after="0" w:line="240" w:lineRule="auto"/>
        <w:ind w:right="283"/>
        <w:rPr>
          <w:rFonts w:ascii="Times New Roman" w:eastAsia="Times New Roman" w:hAnsi="Times New Roman" w:cs="Times New Roman"/>
          <w:snapToGrid w:val="0"/>
          <w:sz w:val="24"/>
          <w:szCs w:val="24"/>
          <w:lang w:eastAsia="ru-RU"/>
        </w:rPr>
      </w:pPr>
      <w:r w:rsidRPr="00A61D80">
        <w:rPr>
          <w:rFonts w:ascii="Times New Roman" w:eastAsia="Times New Roman" w:hAnsi="Times New Roman" w:cs="Times New Roman"/>
          <w:snapToGrid w:val="0"/>
          <w:sz w:val="24"/>
          <w:szCs w:val="24"/>
          <w:lang w:eastAsia="ru-RU"/>
        </w:rPr>
        <w:t xml:space="preserve">часто: </w:t>
      </w:r>
      <w:r w:rsidRPr="00A61D80">
        <w:rPr>
          <w:rFonts w:ascii="Times New Roman" w:eastAsia="Times New Roman" w:hAnsi="Times New Roman" w:cs="Times New Roman"/>
          <w:snapToGrid w:val="0"/>
          <w:sz w:val="24"/>
          <w:szCs w:val="24"/>
          <w:lang w:eastAsia="ru-RU"/>
        </w:rPr>
        <w:tab/>
      </w:r>
      <w:r w:rsidRPr="00A61D80">
        <w:rPr>
          <w:rFonts w:ascii="Times New Roman" w:eastAsia="Times New Roman" w:hAnsi="Times New Roman" w:cs="Times New Roman"/>
          <w:snapToGrid w:val="0"/>
          <w:sz w:val="24"/>
          <w:szCs w:val="24"/>
          <w:lang w:eastAsia="ru-RU"/>
        </w:rPr>
        <w:tab/>
      </w:r>
      <w:r w:rsidRPr="00A61D80">
        <w:rPr>
          <w:rFonts w:ascii="Times New Roman" w:eastAsia="Times New Roman" w:hAnsi="Times New Roman" w:cs="Times New Roman"/>
          <w:snapToGrid w:val="0"/>
          <w:sz w:val="24"/>
          <w:szCs w:val="24"/>
          <w:lang w:eastAsia="ru-RU"/>
        </w:rPr>
        <w:tab/>
        <w:t>анорексия, повышение аппетита</w:t>
      </w:r>
    </w:p>
    <w:p w14:paraId="46590010" w14:textId="77777777" w:rsidR="00A61D80" w:rsidRPr="00A61D80" w:rsidRDefault="00A61D80" w:rsidP="00F602A1">
      <w:pPr>
        <w:spacing w:after="0" w:line="240" w:lineRule="auto"/>
        <w:ind w:right="283"/>
        <w:rPr>
          <w:rFonts w:ascii="Times New Roman" w:eastAsia="Times New Roman" w:hAnsi="Times New Roman" w:cs="Times New Roman"/>
          <w:i/>
          <w:iCs/>
          <w:snapToGrid w:val="0"/>
          <w:sz w:val="24"/>
          <w:szCs w:val="24"/>
          <w:lang w:eastAsia="ru-RU"/>
        </w:rPr>
      </w:pPr>
      <w:r w:rsidRPr="00A61D80">
        <w:rPr>
          <w:rFonts w:ascii="Times New Roman" w:eastAsia="Times New Roman" w:hAnsi="Times New Roman" w:cs="Times New Roman"/>
          <w:i/>
          <w:iCs/>
          <w:snapToGrid w:val="0"/>
          <w:sz w:val="24"/>
          <w:szCs w:val="24"/>
          <w:lang w:eastAsia="ru-RU"/>
        </w:rPr>
        <w:t>Нарушения психики</w:t>
      </w:r>
    </w:p>
    <w:p w14:paraId="5F64371C" w14:textId="77777777" w:rsidR="00A61D80" w:rsidRPr="00A61D80" w:rsidRDefault="00A61D80" w:rsidP="00F602A1">
      <w:pPr>
        <w:spacing w:after="0" w:line="240" w:lineRule="auto"/>
        <w:ind w:right="283"/>
        <w:rPr>
          <w:rFonts w:ascii="Times New Roman" w:eastAsia="Times New Roman" w:hAnsi="Times New Roman" w:cs="Times New Roman"/>
          <w:snapToGrid w:val="0"/>
          <w:sz w:val="24"/>
          <w:szCs w:val="24"/>
          <w:lang w:eastAsia="ru-RU"/>
        </w:rPr>
      </w:pPr>
      <w:r w:rsidRPr="00A61D80">
        <w:rPr>
          <w:rFonts w:ascii="Times New Roman" w:eastAsia="Times New Roman" w:hAnsi="Times New Roman" w:cs="Times New Roman"/>
          <w:snapToGrid w:val="0"/>
          <w:sz w:val="24"/>
          <w:szCs w:val="24"/>
          <w:lang w:eastAsia="ru-RU"/>
        </w:rPr>
        <w:t xml:space="preserve">часто: </w:t>
      </w:r>
      <w:r w:rsidRPr="00A61D80">
        <w:rPr>
          <w:rFonts w:ascii="Times New Roman" w:eastAsia="Times New Roman" w:hAnsi="Times New Roman" w:cs="Times New Roman"/>
          <w:snapToGrid w:val="0"/>
          <w:sz w:val="24"/>
          <w:szCs w:val="24"/>
          <w:lang w:eastAsia="ru-RU"/>
        </w:rPr>
        <w:tab/>
      </w:r>
      <w:r w:rsidRPr="00A61D80">
        <w:rPr>
          <w:rFonts w:ascii="Times New Roman" w:eastAsia="Times New Roman" w:hAnsi="Times New Roman" w:cs="Times New Roman"/>
          <w:snapToGrid w:val="0"/>
          <w:sz w:val="24"/>
          <w:szCs w:val="24"/>
          <w:lang w:eastAsia="ru-RU"/>
        </w:rPr>
        <w:tab/>
      </w:r>
      <w:r w:rsidRPr="00A61D80">
        <w:rPr>
          <w:rFonts w:ascii="Times New Roman" w:eastAsia="Times New Roman" w:hAnsi="Times New Roman" w:cs="Times New Roman"/>
          <w:snapToGrid w:val="0"/>
          <w:sz w:val="24"/>
          <w:szCs w:val="24"/>
          <w:lang w:eastAsia="ru-RU"/>
        </w:rPr>
        <w:tab/>
        <w:t xml:space="preserve">депрессия </w:t>
      </w:r>
    </w:p>
    <w:p w14:paraId="22A30A16" w14:textId="77777777" w:rsidR="00A61D80" w:rsidRPr="00A61D80" w:rsidRDefault="00A61D80" w:rsidP="00F602A1">
      <w:pPr>
        <w:spacing w:after="0" w:line="240" w:lineRule="auto"/>
        <w:ind w:right="283"/>
        <w:rPr>
          <w:rFonts w:ascii="Times New Roman" w:eastAsia="Times New Roman" w:hAnsi="Times New Roman" w:cs="Times New Roman"/>
          <w:snapToGrid w:val="0"/>
          <w:sz w:val="24"/>
          <w:szCs w:val="24"/>
          <w:lang w:eastAsia="ru-RU"/>
        </w:rPr>
      </w:pPr>
      <w:r w:rsidRPr="00A61D80">
        <w:rPr>
          <w:rFonts w:ascii="Times New Roman" w:eastAsia="Times New Roman" w:hAnsi="Times New Roman" w:cs="Times New Roman"/>
          <w:snapToGrid w:val="0"/>
          <w:sz w:val="24"/>
          <w:szCs w:val="24"/>
          <w:lang w:eastAsia="ru-RU"/>
        </w:rPr>
        <w:t xml:space="preserve">нечасто: </w:t>
      </w:r>
      <w:r w:rsidRPr="00A61D80">
        <w:rPr>
          <w:rFonts w:ascii="Times New Roman" w:eastAsia="Times New Roman" w:hAnsi="Times New Roman" w:cs="Times New Roman"/>
          <w:snapToGrid w:val="0"/>
          <w:sz w:val="24"/>
          <w:szCs w:val="24"/>
          <w:lang w:eastAsia="ru-RU"/>
        </w:rPr>
        <w:tab/>
      </w:r>
      <w:r w:rsidRPr="00A61D80">
        <w:rPr>
          <w:rFonts w:ascii="Times New Roman" w:eastAsia="Times New Roman" w:hAnsi="Times New Roman" w:cs="Times New Roman"/>
          <w:snapToGrid w:val="0"/>
          <w:sz w:val="24"/>
          <w:szCs w:val="24"/>
          <w:lang w:eastAsia="ru-RU"/>
        </w:rPr>
        <w:tab/>
        <w:t xml:space="preserve">тревога (в том числе нервное напряжение), раздражительность </w:t>
      </w:r>
    </w:p>
    <w:p w14:paraId="63C6AA75" w14:textId="77777777" w:rsidR="00A61D80" w:rsidRPr="00A61D80" w:rsidRDefault="00A61D80" w:rsidP="00F602A1">
      <w:pPr>
        <w:spacing w:after="0" w:line="240" w:lineRule="auto"/>
        <w:ind w:right="283"/>
        <w:rPr>
          <w:rFonts w:ascii="Times New Roman" w:eastAsia="Times New Roman" w:hAnsi="Times New Roman" w:cs="Times New Roman"/>
          <w:i/>
          <w:iCs/>
          <w:snapToGrid w:val="0"/>
          <w:sz w:val="24"/>
          <w:szCs w:val="24"/>
          <w:lang w:eastAsia="ru-RU"/>
        </w:rPr>
      </w:pPr>
      <w:r w:rsidRPr="00A61D80">
        <w:rPr>
          <w:rFonts w:ascii="Times New Roman" w:eastAsia="Times New Roman" w:hAnsi="Times New Roman" w:cs="Times New Roman"/>
          <w:i/>
          <w:iCs/>
          <w:snapToGrid w:val="0"/>
          <w:sz w:val="24"/>
          <w:szCs w:val="24"/>
          <w:lang w:eastAsia="ru-RU"/>
        </w:rPr>
        <w:t xml:space="preserve">Нарушения со стороны нервной системы </w:t>
      </w:r>
    </w:p>
    <w:p w14:paraId="57863ABF" w14:textId="77777777" w:rsidR="00A61D80" w:rsidRPr="00A61D80" w:rsidRDefault="00A61D80" w:rsidP="00F602A1">
      <w:pPr>
        <w:spacing w:after="0" w:line="240" w:lineRule="auto"/>
        <w:ind w:right="283"/>
        <w:rPr>
          <w:rFonts w:ascii="Times New Roman" w:eastAsia="Times New Roman" w:hAnsi="Times New Roman" w:cs="Times New Roman"/>
          <w:snapToGrid w:val="0"/>
          <w:sz w:val="24"/>
          <w:szCs w:val="24"/>
          <w:lang w:eastAsia="ru-RU"/>
        </w:rPr>
      </w:pPr>
      <w:r w:rsidRPr="00A61D80">
        <w:rPr>
          <w:rFonts w:ascii="Times New Roman" w:eastAsia="Times New Roman" w:hAnsi="Times New Roman" w:cs="Times New Roman"/>
          <w:snapToGrid w:val="0"/>
          <w:sz w:val="24"/>
          <w:szCs w:val="24"/>
          <w:lang w:eastAsia="ru-RU"/>
        </w:rPr>
        <w:t xml:space="preserve">часто: </w:t>
      </w:r>
      <w:r w:rsidRPr="00A61D80">
        <w:rPr>
          <w:rFonts w:ascii="Times New Roman" w:eastAsia="Times New Roman" w:hAnsi="Times New Roman" w:cs="Times New Roman"/>
          <w:snapToGrid w:val="0"/>
          <w:sz w:val="24"/>
          <w:szCs w:val="24"/>
          <w:lang w:eastAsia="ru-RU"/>
        </w:rPr>
        <w:tab/>
      </w:r>
      <w:r w:rsidRPr="00A61D80">
        <w:rPr>
          <w:rFonts w:ascii="Times New Roman" w:eastAsia="Times New Roman" w:hAnsi="Times New Roman" w:cs="Times New Roman"/>
          <w:snapToGrid w:val="0"/>
          <w:sz w:val="24"/>
          <w:szCs w:val="24"/>
          <w:lang w:eastAsia="ru-RU"/>
        </w:rPr>
        <w:tab/>
      </w:r>
      <w:r w:rsidRPr="00A61D80">
        <w:rPr>
          <w:rFonts w:ascii="Times New Roman" w:eastAsia="Times New Roman" w:hAnsi="Times New Roman" w:cs="Times New Roman"/>
          <w:snapToGrid w:val="0"/>
          <w:sz w:val="24"/>
          <w:szCs w:val="24"/>
          <w:lang w:eastAsia="ru-RU"/>
        </w:rPr>
        <w:tab/>
        <w:t xml:space="preserve">головная боль, головокружение </w:t>
      </w:r>
    </w:p>
    <w:p w14:paraId="53888EF9" w14:textId="77777777" w:rsidR="00A61D80" w:rsidRPr="00A61D80" w:rsidRDefault="00A61D80" w:rsidP="00F602A1">
      <w:pPr>
        <w:spacing w:after="0" w:line="240" w:lineRule="auto"/>
        <w:ind w:left="2127" w:right="283" w:hanging="2127"/>
        <w:rPr>
          <w:rFonts w:ascii="Times New Roman" w:eastAsia="Times New Roman" w:hAnsi="Times New Roman" w:cs="Times New Roman"/>
          <w:snapToGrid w:val="0"/>
          <w:sz w:val="24"/>
          <w:szCs w:val="24"/>
          <w:lang w:eastAsia="ru-RU"/>
        </w:rPr>
      </w:pPr>
      <w:r w:rsidRPr="00A61D80">
        <w:rPr>
          <w:rFonts w:ascii="Times New Roman" w:eastAsia="Times New Roman" w:hAnsi="Times New Roman" w:cs="Times New Roman"/>
          <w:snapToGrid w:val="0"/>
          <w:sz w:val="24"/>
          <w:szCs w:val="24"/>
          <w:lang w:eastAsia="ru-RU"/>
        </w:rPr>
        <w:t xml:space="preserve">нечасто: </w:t>
      </w:r>
      <w:r w:rsidRPr="00A61D80">
        <w:rPr>
          <w:rFonts w:ascii="Times New Roman" w:eastAsia="Times New Roman" w:hAnsi="Times New Roman" w:cs="Times New Roman"/>
          <w:snapToGrid w:val="0"/>
          <w:sz w:val="24"/>
          <w:szCs w:val="24"/>
          <w:lang w:eastAsia="ru-RU"/>
        </w:rPr>
        <w:tab/>
        <w:t xml:space="preserve">сонливость, бессонница, нарушение памяти, </w:t>
      </w:r>
      <w:proofErr w:type="spellStart"/>
      <w:r w:rsidRPr="00A61D80">
        <w:rPr>
          <w:rFonts w:ascii="Times New Roman" w:eastAsia="Times New Roman" w:hAnsi="Times New Roman" w:cs="Times New Roman"/>
          <w:snapToGrid w:val="0"/>
          <w:sz w:val="24"/>
          <w:szCs w:val="24"/>
          <w:lang w:eastAsia="ru-RU"/>
        </w:rPr>
        <w:t>дизестезия</w:t>
      </w:r>
      <w:proofErr w:type="spellEnd"/>
      <w:r w:rsidRPr="00A61D80">
        <w:rPr>
          <w:rFonts w:ascii="Times New Roman" w:eastAsia="Times New Roman" w:hAnsi="Times New Roman" w:cs="Times New Roman"/>
          <w:snapToGrid w:val="0"/>
          <w:sz w:val="24"/>
          <w:szCs w:val="24"/>
          <w:lang w:eastAsia="ru-RU"/>
        </w:rPr>
        <w:t xml:space="preserve"> (в том числе парестезия и </w:t>
      </w:r>
      <w:proofErr w:type="spellStart"/>
      <w:r w:rsidRPr="00A61D80">
        <w:rPr>
          <w:rFonts w:ascii="Times New Roman" w:eastAsia="Times New Roman" w:hAnsi="Times New Roman" w:cs="Times New Roman"/>
          <w:snapToGrid w:val="0"/>
          <w:sz w:val="24"/>
          <w:szCs w:val="24"/>
          <w:lang w:eastAsia="ru-RU"/>
        </w:rPr>
        <w:t>гипоэстезия</w:t>
      </w:r>
      <w:proofErr w:type="spellEnd"/>
      <w:r w:rsidRPr="00A61D80">
        <w:rPr>
          <w:rFonts w:ascii="Times New Roman" w:eastAsia="Times New Roman" w:hAnsi="Times New Roman" w:cs="Times New Roman"/>
          <w:snapToGrid w:val="0"/>
          <w:sz w:val="24"/>
          <w:szCs w:val="24"/>
          <w:lang w:eastAsia="ru-RU"/>
        </w:rPr>
        <w:t xml:space="preserve">), нарушение вкусовых ощущений, нарушение мозгового кровообращения, синдром </w:t>
      </w:r>
      <w:proofErr w:type="spellStart"/>
      <w:r w:rsidRPr="00A61D80">
        <w:rPr>
          <w:rFonts w:ascii="Times New Roman" w:eastAsia="Times New Roman" w:hAnsi="Times New Roman" w:cs="Times New Roman"/>
          <w:snapToGrid w:val="0"/>
          <w:sz w:val="24"/>
          <w:szCs w:val="24"/>
          <w:lang w:eastAsia="ru-RU"/>
        </w:rPr>
        <w:t>карпального</w:t>
      </w:r>
      <w:proofErr w:type="spellEnd"/>
      <w:r w:rsidRPr="00A61D80">
        <w:rPr>
          <w:rFonts w:ascii="Times New Roman" w:eastAsia="Times New Roman" w:hAnsi="Times New Roman" w:cs="Times New Roman"/>
          <w:snapToGrid w:val="0"/>
          <w:sz w:val="24"/>
          <w:szCs w:val="24"/>
          <w:lang w:eastAsia="ru-RU"/>
        </w:rPr>
        <w:t xml:space="preserve"> канала </w:t>
      </w:r>
    </w:p>
    <w:p w14:paraId="38E1BB47" w14:textId="77777777" w:rsidR="00A61D80" w:rsidRPr="00A61D80" w:rsidRDefault="00A61D80" w:rsidP="00F602A1">
      <w:pPr>
        <w:spacing w:after="0" w:line="240" w:lineRule="auto"/>
        <w:ind w:right="283"/>
        <w:rPr>
          <w:rFonts w:ascii="Times New Roman" w:eastAsia="Times New Roman" w:hAnsi="Times New Roman" w:cs="Times New Roman"/>
          <w:i/>
          <w:iCs/>
          <w:snapToGrid w:val="0"/>
          <w:sz w:val="24"/>
          <w:szCs w:val="24"/>
          <w:lang w:eastAsia="ru-RU"/>
        </w:rPr>
      </w:pPr>
      <w:r w:rsidRPr="00A61D80">
        <w:rPr>
          <w:rFonts w:ascii="Times New Roman" w:eastAsia="Times New Roman" w:hAnsi="Times New Roman" w:cs="Times New Roman"/>
          <w:i/>
          <w:iCs/>
          <w:snapToGrid w:val="0"/>
          <w:sz w:val="24"/>
          <w:szCs w:val="24"/>
          <w:lang w:eastAsia="ru-RU"/>
        </w:rPr>
        <w:t xml:space="preserve">Нарушения со стороны органа зрения </w:t>
      </w:r>
    </w:p>
    <w:p w14:paraId="46DA5DF2" w14:textId="77777777" w:rsidR="00A61D80" w:rsidRPr="00A61D80" w:rsidRDefault="00A61D80" w:rsidP="00F602A1">
      <w:pPr>
        <w:spacing w:after="0" w:line="240" w:lineRule="auto"/>
        <w:ind w:right="283"/>
        <w:rPr>
          <w:rFonts w:ascii="Times New Roman" w:eastAsia="Times New Roman" w:hAnsi="Times New Roman" w:cs="Times New Roman"/>
          <w:snapToGrid w:val="0"/>
          <w:sz w:val="24"/>
          <w:szCs w:val="24"/>
          <w:lang w:eastAsia="ru-RU"/>
        </w:rPr>
      </w:pPr>
      <w:r w:rsidRPr="00A61D80">
        <w:rPr>
          <w:rFonts w:ascii="Times New Roman" w:eastAsia="Times New Roman" w:hAnsi="Times New Roman" w:cs="Times New Roman"/>
          <w:snapToGrid w:val="0"/>
          <w:sz w:val="24"/>
          <w:szCs w:val="24"/>
          <w:lang w:eastAsia="ru-RU"/>
        </w:rPr>
        <w:t xml:space="preserve">нечасто: </w:t>
      </w:r>
      <w:r w:rsidRPr="00A61D80">
        <w:rPr>
          <w:rFonts w:ascii="Times New Roman" w:eastAsia="Times New Roman" w:hAnsi="Times New Roman" w:cs="Times New Roman"/>
          <w:snapToGrid w:val="0"/>
          <w:sz w:val="24"/>
          <w:szCs w:val="24"/>
          <w:lang w:eastAsia="ru-RU"/>
        </w:rPr>
        <w:tab/>
      </w:r>
      <w:r w:rsidRPr="00A61D80">
        <w:rPr>
          <w:rFonts w:ascii="Times New Roman" w:eastAsia="Times New Roman" w:hAnsi="Times New Roman" w:cs="Times New Roman"/>
          <w:snapToGrid w:val="0"/>
          <w:sz w:val="24"/>
          <w:szCs w:val="24"/>
          <w:lang w:eastAsia="ru-RU"/>
        </w:rPr>
        <w:tab/>
        <w:t xml:space="preserve">катаракта, раздражение глаз, нарушение четкости зрения </w:t>
      </w:r>
    </w:p>
    <w:p w14:paraId="4252EDDF" w14:textId="77777777" w:rsidR="00A61D80" w:rsidRPr="00A61D80" w:rsidRDefault="00A61D80" w:rsidP="00F602A1">
      <w:pPr>
        <w:spacing w:after="0" w:line="240" w:lineRule="auto"/>
        <w:ind w:right="283"/>
        <w:rPr>
          <w:rFonts w:ascii="Times New Roman" w:eastAsia="Times New Roman" w:hAnsi="Times New Roman" w:cs="Times New Roman"/>
          <w:i/>
          <w:iCs/>
          <w:snapToGrid w:val="0"/>
          <w:sz w:val="24"/>
          <w:szCs w:val="24"/>
          <w:lang w:eastAsia="ru-RU"/>
        </w:rPr>
      </w:pPr>
      <w:r w:rsidRPr="00A61D80">
        <w:rPr>
          <w:rFonts w:ascii="Times New Roman" w:eastAsia="Times New Roman" w:hAnsi="Times New Roman" w:cs="Times New Roman"/>
          <w:i/>
          <w:iCs/>
          <w:snapToGrid w:val="0"/>
          <w:sz w:val="24"/>
          <w:szCs w:val="24"/>
          <w:lang w:eastAsia="ru-RU"/>
        </w:rPr>
        <w:t>Нарушения со стороны сердца</w:t>
      </w:r>
    </w:p>
    <w:p w14:paraId="027C5F81" w14:textId="77777777" w:rsidR="00A61D80" w:rsidRPr="00A61D80" w:rsidRDefault="00A61D80" w:rsidP="00F602A1">
      <w:pPr>
        <w:spacing w:after="0" w:line="240" w:lineRule="auto"/>
        <w:ind w:right="283"/>
        <w:rPr>
          <w:rFonts w:ascii="Times New Roman" w:eastAsia="Times New Roman" w:hAnsi="Times New Roman" w:cs="Times New Roman"/>
          <w:snapToGrid w:val="0"/>
          <w:sz w:val="24"/>
          <w:szCs w:val="24"/>
          <w:lang w:eastAsia="ru-RU"/>
        </w:rPr>
      </w:pPr>
      <w:r w:rsidRPr="00A61D80">
        <w:rPr>
          <w:rFonts w:ascii="Times New Roman" w:eastAsia="Times New Roman" w:hAnsi="Times New Roman" w:cs="Times New Roman"/>
          <w:snapToGrid w:val="0"/>
          <w:sz w:val="24"/>
          <w:szCs w:val="24"/>
          <w:lang w:eastAsia="ru-RU"/>
        </w:rPr>
        <w:t>часто:</w:t>
      </w:r>
      <w:r w:rsidRPr="00A61D80">
        <w:rPr>
          <w:rFonts w:ascii="Times New Roman" w:eastAsia="Times New Roman" w:hAnsi="Times New Roman" w:cs="Times New Roman"/>
          <w:snapToGrid w:val="0"/>
          <w:sz w:val="24"/>
          <w:szCs w:val="24"/>
          <w:lang w:eastAsia="ru-RU"/>
        </w:rPr>
        <w:tab/>
      </w:r>
      <w:r w:rsidRPr="00A61D80">
        <w:rPr>
          <w:rFonts w:ascii="Times New Roman" w:eastAsia="Times New Roman" w:hAnsi="Times New Roman" w:cs="Times New Roman"/>
          <w:snapToGrid w:val="0"/>
          <w:sz w:val="24"/>
          <w:szCs w:val="24"/>
          <w:lang w:eastAsia="ru-RU"/>
        </w:rPr>
        <w:tab/>
      </w:r>
      <w:r w:rsidRPr="00A61D80">
        <w:rPr>
          <w:rFonts w:ascii="Times New Roman" w:eastAsia="Times New Roman" w:hAnsi="Times New Roman" w:cs="Times New Roman"/>
          <w:snapToGrid w:val="0"/>
          <w:sz w:val="24"/>
          <w:szCs w:val="24"/>
          <w:lang w:eastAsia="ru-RU"/>
        </w:rPr>
        <w:tab/>
        <w:t>ощущение сильного сердцебиения</w:t>
      </w:r>
      <w:r w:rsidRPr="00A61D80">
        <w:rPr>
          <w:rFonts w:ascii="Times New Roman" w:eastAsia="Times New Roman" w:hAnsi="Times New Roman" w:cs="Times New Roman"/>
          <w:snapToGrid w:val="0"/>
          <w:sz w:val="24"/>
          <w:szCs w:val="24"/>
          <w:vertAlign w:val="superscript"/>
          <w:lang w:eastAsia="ru-RU"/>
        </w:rPr>
        <w:t>1</w:t>
      </w:r>
    </w:p>
    <w:p w14:paraId="78688305" w14:textId="77777777" w:rsidR="00A61D80" w:rsidRPr="00A61D80" w:rsidRDefault="00A61D80" w:rsidP="00F602A1">
      <w:pPr>
        <w:spacing w:after="0" w:line="240" w:lineRule="auto"/>
        <w:ind w:left="2127" w:right="283" w:hanging="2127"/>
        <w:rPr>
          <w:rFonts w:ascii="Times New Roman" w:eastAsia="Times New Roman" w:hAnsi="Times New Roman" w:cs="Times New Roman"/>
          <w:snapToGrid w:val="0"/>
          <w:sz w:val="24"/>
          <w:szCs w:val="24"/>
          <w:lang w:eastAsia="ru-RU"/>
        </w:rPr>
      </w:pPr>
      <w:r w:rsidRPr="00A61D80">
        <w:rPr>
          <w:rFonts w:ascii="Times New Roman" w:eastAsia="Times New Roman" w:hAnsi="Times New Roman" w:cs="Times New Roman"/>
          <w:snapToGrid w:val="0"/>
          <w:sz w:val="24"/>
          <w:szCs w:val="24"/>
          <w:lang w:eastAsia="ru-RU"/>
        </w:rPr>
        <w:t xml:space="preserve">нечасто: </w:t>
      </w:r>
      <w:r w:rsidRPr="00A61D80">
        <w:rPr>
          <w:rFonts w:ascii="Times New Roman" w:eastAsia="Times New Roman" w:hAnsi="Times New Roman" w:cs="Times New Roman"/>
          <w:snapToGrid w:val="0"/>
          <w:sz w:val="24"/>
          <w:szCs w:val="24"/>
          <w:lang w:eastAsia="ru-RU"/>
        </w:rPr>
        <w:tab/>
        <w:t xml:space="preserve">тахикардия, ишемия миокарда (в том числе и новые приступы стенокардии или её ухудшение, стенокардия, требующая хирургического вмешательства, инфаркт миокарда, ишемия миокарда). </w:t>
      </w:r>
    </w:p>
    <w:p w14:paraId="5C7748A2" w14:textId="77777777" w:rsidR="00A61D80" w:rsidRPr="00A61D80" w:rsidRDefault="00A61D80" w:rsidP="00F602A1">
      <w:pPr>
        <w:spacing w:after="0" w:line="240" w:lineRule="auto"/>
        <w:ind w:right="283"/>
        <w:rPr>
          <w:rFonts w:ascii="Times New Roman" w:eastAsia="Times New Roman" w:hAnsi="Times New Roman" w:cs="Times New Roman"/>
          <w:i/>
          <w:iCs/>
          <w:snapToGrid w:val="0"/>
          <w:sz w:val="24"/>
          <w:szCs w:val="24"/>
          <w:lang w:eastAsia="ru-RU"/>
        </w:rPr>
      </w:pPr>
      <w:r w:rsidRPr="00A61D80">
        <w:rPr>
          <w:rFonts w:ascii="Times New Roman" w:eastAsia="Times New Roman" w:hAnsi="Times New Roman" w:cs="Times New Roman"/>
          <w:i/>
          <w:iCs/>
          <w:snapToGrid w:val="0"/>
          <w:sz w:val="24"/>
          <w:szCs w:val="24"/>
          <w:lang w:eastAsia="ru-RU"/>
        </w:rPr>
        <w:t xml:space="preserve">Нарушения со стороны сосудов </w:t>
      </w:r>
    </w:p>
    <w:p w14:paraId="672A5C52" w14:textId="77777777" w:rsidR="00A61D80" w:rsidRPr="00A61D80" w:rsidRDefault="00A61D80" w:rsidP="00F602A1">
      <w:pPr>
        <w:spacing w:after="0" w:line="240" w:lineRule="auto"/>
        <w:ind w:right="283"/>
        <w:rPr>
          <w:rFonts w:ascii="Times New Roman" w:eastAsia="Times New Roman" w:hAnsi="Times New Roman" w:cs="Times New Roman"/>
          <w:snapToGrid w:val="0"/>
          <w:sz w:val="24"/>
          <w:szCs w:val="24"/>
          <w:lang w:eastAsia="ru-RU"/>
        </w:rPr>
      </w:pPr>
      <w:r w:rsidRPr="00A61D80">
        <w:rPr>
          <w:rFonts w:ascii="Times New Roman" w:eastAsia="Times New Roman" w:hAnsi="Times New Roman" w:cs="Times New Roman"/>
          <w:snapToGrid w:val="0"/>
          <w:sz w:val="24"/>
          <w:szCs w:val="24"/>
          <w:lang w:eastAsia="ru-RU"/>
        </w:rPr>
        <w:t>очень часто:</w:t>
      </w:r>
      <w:r w:rsidRPr="00A61D80">
        <w:rPr>
          <w:rFonts w:ascii="Times New Roman" w:eastAsia="Times New Roman" w:hAnsi="Times New Roman" w:cs="Times New Roman"/>
          <w:snapToGrid w:val="0"/>
          <w:sz w:val="24"/>
          <w:szCs w:val="24"/>
          <w:lang w:eastAsia="ru-RU"/>
        </w:rPr>
        <w:tab/>
      </w:r>
      <w:r w:rsidRPr="00A61D80">
        <w:rPr>
          <w:rFonts w:ascii="Times New Roman" w:eastAsia="Times New Roman" w:hAnsi="Times New Roman" w:cs="Times New Roman"/>
          <w:snapToGrid w:val="0"/>
          <w:sz w:val="24"/>
          <w:szCs w:val="24"/>
          <w:lang w:eastAsia="ru-RU"/>
        </w:rPr>
        <w:tab/>
        <w:t>горячие приливы</w:t>
      </w:r>
    </w:p>
    <w:p w14:paraId="5F249E16" w14:textId="77777777" w:rsidR="00A61D80" w:rsidRPr="00A61D80" w:rsidRDefault="00A61D80" w:rsidP="00F602A1">
      <w:pPr>
        <w:spacing w:after="0" w:line="240" w:lineRule="auto"/>
        <w:ind w:right="283"/>
        <w:rPr>
          <w:rFonts w:ascii="Times New Roman" w:eastAsia="Times New Roman" w:hAnsi="Times New Roman" w:cs="Times New Roman"/>
          <w:snapToGrid w:val="0"/>
          <w:sz w:val="24"/>
          <w:szCs w:val="24"/>
          <w:lang w:eastAsia="ru-RU"/>
        </w:rPr>
      </w:pPr>
      <w:r w:rsidRPr="00A61D80">
        <w:rPr>
          <w:rFonts w:ascii="Times New Roman" w:eastAsia="Times New Roman" w:hAnsi="Times New Roman" w:cs="Times New Roman"/>
          <w:snapToGrid w:val="0"/>
          <w:sz w:val="24"/>
          <w:szCs w:val="24"/>
          <w:lang w:eastAsia="ru-RU"/>
        </w:rPr>
        <w:t>часто:</w:t>
      </w:r>
      <w:r w:rsidRPr="00A61D80">
        <w:rPr>
          <w:rFonts w:ascii="Times New Roman" w:eastAsia="Times New Roman" w:hAnsi="Times New Roman" w:cs="Times New Roman"/>
          <w:snapToGrid w:val="0"/>
          <w:sz w:val="24"/>
          <w:szCs w:val="24"/>
          <w:lang w:eastAsia="ru-RU"/>
        </w:rPr>
        <w:tab/>
      </w:r>
      <w:r w:rsidRPr="00A61D80">
        <w:rPr>
          <w:rFonts w:ascii="Times New Roman" w:eastAsia="Times New Roman" w:hAnsi="Times New Roman" w:cs="Times New Roman"/>
          <w:snapToGrid w:val="0"/>
          <w:sz w:val="24"/>
          <w:szCs w:val="24"/>
          <w:lang w:eastAsia="ru-RU"/>
        </w:rPr>
        <w:tab/>
      </w:r>
      <w:r w:rsidRPr="00A61D80">
        <w:rPr>
          <w:rFonts w:ascii="Times New Roman" w:eastAsia="Times New Roman" w:hAnsi="Times New Roman" w:cs="Times New Roman"/>
          <w:snapToGrid w:val="0"/>
          <w:sz w:val="24"/>
          <w:szCs w:val="24"/>
          <w:lang w:eastAsia="ru-RU"/>
        </w:rPr>
        <w:tab/>
        <w:t>гипертензия</w:t>
      </w:r>
    </w:p>
    <w:p w14:paraId="1AD1AC34" w14:textId="77777777" w:rsidR="00A61D80" w:rsidRPr="00A61D80" w:rsidRDefault="00A61D80" w:rsidP="00F602A1">
      <w:pPr>
        <w:spacing w:after="0" w:line="240" w:lineRule="auto"/>
        <w:ind w:right="283"/>
        <w:rPr>
          <w:rFonts w:ascii="Times New Roman" w:eastAsia="Times New Roman" w:hAnsi="Times New Roman" w:cs="Times New Roman"/>
          <w:snapToGrid w:val="0"/>
          <w:sz w:val="24"/>
          <w:szCs w:val="24"/>
          <w:lang w:eastAsia="ru-RU"/>
        </w:rPr>
      </w:pPr>
      <w:r w:rsidRPr="00A61D80">
        <w:rPr>
          <w:rFonts w:ascii="Times New Roman" w:eastAsia="Times New Roman" w:hAnsi="Times New Roman" w:cs="Times New Roman"/>
          <w:snapToGrid w:val="0"/>
          <w:sz w:val="24"/>
          <w:szCs w:val="24"/>
          <w:lang w:eastAsia="ru-RU"/>
        </w:rPr>
        <w:t xml:space="preserve">нечасто: </w:t>
      </w:r>
      <w:r w:rsidRPr="00A61D80">
        <w:rPr>
          <w:rFonts w:ascii="Times New Roman" w:eastAsia="Times New Roman" w:hAnsi="Times New Roman" w:cs="Times New Roman"/>
          <w:snapToGrid w:val="0"/>
          <w:sz w:val="24"/>
          <w:szCs w:val="24"/>
          <w:lang w:eastAsia="ru-RU"/>
        </w:rPr>
        <w:tab/>
      </w:r>
      <w:r w:rsidRPr="00A61D80">
        <w:rPr>
          <w:rFonts w:ascii="Times New Roman" w:eastAsia="Times New Roman" w:hAnsi="Times New Roman" w:cs="Times New Roman"/>
          <w:snapToGrid w:val="0"/>
          <w:sz w:val="24"/>
          <w:szCs w:val="24"/>
          <w:lang w:eastAsia="ru-RU"/>
        </w:rPr>
        <w:tab/>
        <w:t>тромбофлебит (в том числе поверхностных и глубоких вен)</w:t>
      </w:r>
    </w:p>
    <w:p w14:paraId="78C8042E" w14:textId="77777777" w:rsidR="00A61D80" w:rsidRPr="00A61D80" w:rsidRDefault="00A61D80" w:rsidP="00F602A1">
      <w:pPr>
        <w:spacing w:after="0" w:line="240" w:lineRule="auto"/>
        <w:ind w:right="283"/>
        <w:rPr>
          <w:rFonts w:ascii="Times New Roman" w:eastAsia="Times New Roman" w:hAnsi="Times New Roman" w:cs="Times New Roman"/>
          <w:snapToGrid w:val="0"/>
          <w:sz w:val="24"/>
          <w:szCs w:val="24"/>
          <w:lang w:eastAsia="ru-RU"/>
        </w:rPr>
      </w:pPr>
      <w:r w:rsidRPr="00A61D80">
        <w:rPr>
          <w:rFonts w:ascii="Times New Roman" w:eastAsia="Times New Roman" w:hAnsi="Times New Roman" w:cs="Times New Roman"/>
          <w:snapToGrid w:val="0"/>
          <w:sz w:val="24"/>
          <w:szCs w:val="24"/>
          <w:lang w:eastAsia="ru-RU"/>
        </w:rPr>
        <w:t xml:space="preserve">редко: </w:t>
      </w:r>
      <w:r w:rsidRPr="00A61D80">
        <w:rPr>
          <w:rFonts w:ascii="Times New Roman" w:eastAsia="Times New Roman" w:hAnsi="Times New Roman" w:cs="Times New Roman"/>
          <w:snapToGrid w:val="0"/>
          <w:sz w:val="24"/>
          <w:szCs w:val="24"/>
          <w:lang w:eastAsia="ru-RU"/>
        </w:rPr>
        <w:tab/>
      </w:r>
      <w:r w:rsidRPr="00A61D80">
        <w:rPr>
          <w:rFonts w:ascii="Times New Roman" w:eastAsia="Times New Roman" w:hAnsi="Times New Roman" w:cs="Times New Roman"/>
          <w:snapToGrid w:val="0"/>
          <w:sz w:val="24"/>
          <w:szCs w:val="24"/>
          <w:lang w:eastAsia="ru-RU"/>
        </w:rPr>
        <w:tab/>
        <w:t xml:space="preserve">эмболия легочной артерии, тромбоз артерий, инфаркт головного мозга </w:t>
      </w:r>
    </w:p>
    <w:p w14:paraId="2C5548E1" w14:textId="77777777" w:rsidR="00A61D80" w:rsidRPr="00A61D80" w:rsidRDefault="00A61D80" w:rsidP="00F602A1">
      <w:pPr>
        <w:spacing w:after="0" w:line="240" w:lineRule="auto"/>
        <w:ind w:right="283"/>
        <w:rPr>
          <w:rFonts w:ascii="Times New Roman" w:eastAsia="Times New Roman" w:hAnsi="Times New Roman" w:cs="Times New Roman"/>
          <w:i/>
          <w:iCs/>
          <w:snapToGrid w:val="0"/>
          <w:sz w:val="24"/>
          <w:szCs w:val="24"/>
          <w:lang w:eastAsia="ru-RU"/>
        </w:rPr>
      </w:pPr>
      <w:r w:rsidRPr="00A61D80">
        <w:rPr>
          <w:rFonts w:ascii="Times New Roman" w:eastAsia="Times New Roman" w:hAnsi="Times New Roman" w:cs="Times New Roman"/>
          <w:i/>
          <w:iCs/>
          <w:snapToGrid w:val="0"/>
          <w:sz w:val="24"/>
          <w:szCs w:val="24"/>
          <w:lang w:eastAsia="ru-RU"/>
        </w:rPr>
        <w:t xml:space="preserve">Нарушения </w:t>
      </w:r>
      <w:proofErr w:type="spellStart"/>
      <w:r w:rsidRPr="00A61D80">
        <w:rPr>
          <w:rFonts w:ascii="Times New Roman" w:eastAsia="Times New Roman" w:hAnsi="Times New Roman" w:cs="Times New Roman"/>
          <w:i/>
          <w:iCs/>
          <w:snapToGrid w:val="0"/>
          <w:sz w:val="24"/>
          <w:szCs w:val="24"/>
          <w:lang w:eastAsia="ru-RU"/>
        </w:rPr>
        <w:t>cо</w:t>
      </w:r>
      <w:proofErr w:type="spellEnd"/>
      <w:r w:rsidRPr="00A61D80">
        <w:rPr>
          <w:rFonts w:ascii="Times New Roman" w:eastAsia="Times New Roman" w:hAnsi="Times New Roman" w:cs="Times New Roman"/>
          <w:i/>
          <w:iCs/>
          <w:snapToGrid w:val="0"/>
          <w:sz w:val="24"/>
          <w:szCs w:val="24"/>
          <w:lang w:eastAsia="ru-RU"/>
        </w:rPr>
        <w:t xml:space="preserve"> стороны дыхательной системы, органов грудной клетки и средостения </w:t>
      </w:r>
    </w:p>
    <w:p w14:paraId="5ED9B66E" w14:textId="77777777" w:rsidR="00A61D80" w:rsidRPr="00A61D80" w:rsidRDefault="00A61D80" w:rsidP="00F602A1">
      <w:pPr>
        <w:spacing w:after="0" w:line="240" w:lineRule="auto"/>
        <w:ind w:right="283"/>
        <w:rPr>
          <w:rFonts w:ascii="Times New Roman" w:eastAsia="Times New Roman" w:hAnsi="Times New Roman" w:cs="Times New Roman"/>
          <w:snapToGrid w:val="0"/>
          <w:sz w:val="24"/>
          <w:szCs w:val="24"/>
          <w:lang w:eastAsia="ru-RU"/>
        </w:rPr>
      </w:pPr>
      <w:r w:rsidRPr="00A61D80">
        <w:rPr>
          <w:rFonts w:ascii="Times New Roman" w:eastAsia="Times New Roman" w:hAnsi="Times New Roman" w:cs="Times New Roman"/>
          <w:snapToGrid w:val="0"/>
          <w:sz w:val="24"/>
          <w:szCs w:val="24"/>
          <w:lang w:eastAsia="ru-RU"/>
        </w:rPr>
        <w:t xml:space="preserve">нечасто: </w:t>
      </w:r>
      <w:r w:rsidRPr="00A61D80">
        <w:rPr>
          <w:rFonts w:ascii="Times New Roman" w:eastAsia="Times New Roman" w:hAnsi="Times New Roman" w:cs="Times New Roman"/>
          <w:snapToGrid w:val="0"/>
          <w:sz w:val="24"/>
          <w:szCs w:val="24"/>
          <w:lang w:eastAsia="ru-RU"/>
        </w:rPr>
        <w:tab/>
      </w:r>
      <w:r w:rsidRPr="00A61D80">
        <w:rPr>
          <w:rFonts w:ascii="Times New Roman" w:eastAsia="Times New Roman" w:hAnsi="Times New Roman" w:cs="Times New Roman"/>
          <w:snapToGrid w:val="0"/>
          <w:sz w:val="24"/>
          <w:szCs w:val="24"/>
          <w:lang w:eastAsia="ru-RU"/>
        </w:rPr>
        <w:tab/>
        <w:t xml:space="preserve">диспноэ, кашель </w:t>
      </w:r>
    </w:p>
    <w:p w14:paraId="613879DE" w14:textId="77777777" w:rsidR="00A61D80" w:rsidRPr="00A61D80" w:rsidRDefault="00A61D80" w:rsidP="00F602A1">
      <w:pPr>
        <w:spacing w:after="0" w:line="240" w:lineRule="auto"/>
        <w:ind w:right="283"/>
        <w:rPr>
          <w:rFonts w:ascii="Times New Roman" w:eastAsia="Times New Roman" w:hAnsi="Times New Roman" w:cs="Times New Roman"/>
          <w:i/>
          <w:iCs/>
          <w:snapToGrid w:val="0"/>
          <w:sz w:val="24"/>
          <w:szCs w:val="24"/>
          <w:lang w:eastAsia="ru-RU"/>
        </w:rPr>
      </w:pPr>
      <w:r w:rsidRPr="00A61D80">
        <w:rPr>
          <w:rFonts w:ascii="Times New Roman" w:eastAsia="Times New Roman" w:hAnsi="Times New Roman" w:cs="Times New Roman"/>
          <w:i/>
          <w:iCs/>
          <w:snapToGrid w:val="0"/>
          <w:sz w:val="24"/>
          <w:szCs w:val="24"/>
          <w:lang w:eastAsia="ru-RU"/>
        </w:rPr>
        <w:t xml:space="preserve">Нарушения со стороны желудочно-кишечного тракта </w:t>
      </w:r>
    </w:p>
    <w:p w14:paraId="4EA826AB" w14:textId="77777777" w:rsidR="00A61D80" w:rsidRPr="00A61D80" w:rsidRDefault="00A61D80" w:rsidP="00F602A1">
      <w:pPr>
        <w:spacing w:after="0" w:line="240" w:lineRule="auto"/>
        <w:ind w:right="283"/>
        <w:rPr>
          <w:rFonts w:ascii="Times New Roman" w:eastAsia="Times New Roman" w:hAnsi="Times New Roman" w:cs="Times New Roman"/>
          <w:snapToGrid w:val="0"/>
          <w:sz w:val="24"/>
          <w:szCs w:val="24"/>
          <w:lang w:eastAsia="ru-RU"/>
        </w:rPr>
      </w:pPr>
      <w:r w:rsidRPr="00A61D80">
        <w:rPr>
          <w:rFonts w:ascii="Times New Roman" w:eastAsia="Times New Roman" w:hAnsi="Times New Roman" w:cs="Times New Roman"/>
          <w:snapToGrid w:val="0"/>
          <w:sz w:val="24"/>
          <w:szCs w:val="24"/>
          <w:lang w:eastAsia="ru-RU"/>
        </w:rPr>
        <w:lastRenderedPageBreak/>
        <w:t xml:space="preserve">часто: </w:t>
      </w:r>
      <w:r w:rsidRPr="00A61D80">
        <w:rPr>
          <w:rFonts w:ascii="Times New Roman" w:eastAsia="Times New Roman" w:hAnsi="Times New Roman" w:cs="Times New Roman"/>
          <w:snapToGrid w:val="0"/>
          <w:sz w:val="24"/>
          <w:szCs w:val="24"/>
          <w:lang w:eastAsia="ru-RU"/>
        </w:rPr>
        <w:tab/>
      </w:r>
      <w:r w:rsidRPr="00A61D80">
        <w:rPr>
          <w:rFonts w:ascii="Times New Roman" w:eastAsia="Times New Roman" w:hAnsi="Times New Roman" w:cs="Times New Roman"/>
          <w:snapToGrid w:val="0"/>
          <w:sz w:val="24"/>
          <w:szCs w:val="24"/>
          <w:lang w:eastAsia="ru-RU"/>
        </w:rPr>
        <w:tab/>
      </w:r>
      <w:r w:rsidRPr="00A61D80">
        <w:rPr>
          <w:rFonts w:ascii="Times New Roman" w:eastAsia="Times New Roman" w:hAnsi="Times New Roman" w:cs="Times New Roman"/>
          <w:snapToGrid w:val="0"/>
          <w:sz w:val="24"/>
          <w:szCs w:val="24"/>
          <w:lang w:eastAsia="ru-RU"/>
        </w:rPr>
        <w:tab/>
        <w:t>тошнота, диспепсия</w:t>
      </w:r>
      <w:r w:rsidRPr="00A61D80">
        <w:rPr>
          <w:rFonts w:ascii="Times New Roman" w:eastAsia="Times New Roman" w:hAnsi="Times New Roman" w:cs="Times New Roman"/>
          <w:snapToGrid w:val="0"/>
          <w:sz w:val="24"/>
          <w:szCs w:val="24"/>
          <w:vertAlign w:val="superscript"/>
          <w:lang w:eastAsia="ru-RU"/>
        </w:rPr>
        <w:t>1</w:t>
      </w:r>
      <w:r w:rsidRPr="00A61D80">
        <w:rPr>
          <w:rFonts w:ascii="Times New Roman" w:eastAsia="Times New Roman" w:hAnsi="Times New Roman" w:cs="Times New Roman"/>
          <w:snapToGrid w:val="0"/>
          <w:sz w:val="24"/>
          <w:szCs w:val="24"/>
          <w:lang w:eastAsia="ru-RU"/>
        </w:rPr>
        <w:t>, запор, боль в животе, диарея, рвота</w:t>
      </w:r>
    </w:p>
    <w:p w14:paraId="23E052FA" w14:textId="77777777" w:rsidR="00A61D80" w:rsidRPr="00A61D80" w:rsidRDefault="00A61D80" w:rsidP="00F602A1">
      <w:pPr>
        <w:spacing w:after="0" w:line="240" w:lineRule="auto"/>
        <w:ind w:right="283"/>
        <w:rPr>
          <w:rFonts w:ascii="Times New Roman" w:eastAsia="Times New Roman" w:hAnsi="Times New Roman" w:cs="Times New Roman"/>
          <w:snapToGrid w:val="0"/>
          <w:sz w:val="24"/>
          <w:szCs w:val="24"/>
          <w:lang w:eastAsia="ru-RU"/>
        </w:rPr>
      </w:pPr>
      <w:r w:rsidRPr="00A61D80">
        <w:rPr>
          <w:rFonts w:ascii="Times New Roman" w:eastAsia="Times New Roman" w:hAnsi="Times New Roman" w:cs="Times New Roman"/>
          <w:snapToGrid w:val="0"/>
          <w:sz w:val="24"/>
          <w:szCs w:val="24"/>
          <w:lang w:eastAsia="ru-RU"/>
        </w:rPr>
        <w:t xml:space="preserve">нечасто: </w:t>
      </w:r>
      <w:r w:rsidRPr="00A61D80">
        <w:rPr>
          <w:rFonts w:ascii="Times New Roman" w:eastAsia="Times New Roman" w:hAnsi="Times New Roman" w:cs="Times New Roman"/>
          <w:snapToGrid w:val="0"/>
          <w:sz w:val="24"/>
          <w:szCs w:val="24"/>
          <w:lang w:eastAsia="ru-RU"/>
        </w:rPr>
        <w:tab/>
      </w:r>
      <w:r w:rsidRPr="00A61D80">
        <w:rPr>
          <w:rFonts w:ascii="Times New Roman" w:eastAsia="Times New Roman" w:hAnsi="Times New Roman" w:cs="Times New Roman"/>
          <w:snapToGrid w:val="0"/>
          <w:sz w:val="24"/>
          <w:szCs w:val="24"/>
          <w:lang w:eastAsia="ru-RU"/>
        </w:rPr>
        <w:tab/>
        <w:t>сухость во рту, стоматит</w:t>
      </w:r>
      <w:r w:rsidRPr="00A61D80">
        <w:rPr>
          <w:rFonts w:ascii="Times New Roman" w:eastAsia="Times New Roman" w:hAnsi="Times New Roman" w:cs="Times New Roman"/>
          <w:snapToGrid w:val="0"/>
          <w:sz w:val="24"/>
          <w:szCs w:val="24"/>
          <w:vertAlign w:val="superscript"/>
          <w:lang w:eastAsia="ru-RU"/>
        </w:rPr>
        <w:t>1</w:t>
      </w:r>
    </w:p>
    <w:p w14:paraId="6FDC0707" w14:textId="77777777" w:rsidR="00A61D80" w:rsidRPr="00A61D80" w:rsidRDefault="00A61D80" w:rsidP="00F602A1">
      <w:pPr>
        <w:spacing w:after="0" w:line="240" w:lineRule="auto"/>
        <w:ind w:right="283"/>
        <w:rPr>
          <w:rFonts w:ascii="Times New Roman" w:eastAsia="Times New Roman" w:hAnsi="Times New Roman" w:cs="Times New Roman"/>
          <w:i/>
          <w:iCs/>
          <w:snapToGrid w:val="0"/>
          <w:sz w:val="24"/>
          <w:szCs w:val="24"/>
          <w:lang w:eastAsia="ru-RU"/>
        </w:rPr>
      </w:pPr>
      <w:r w:rsidRPr="00A61D80">
        <w:rPr>
          <w:rFonts w:ascii="Times New Roman" w:eastAsia="Times New Roman" w:hAnsi="Times New Roman" w:cs="Times New Roman"/>
          <w:i/>
          <w:iCs/>
          <w:snapToGrid w:val="0"/>
          <w:sz w:val="24"/>
          <w:szCs w:val="24"/>
          <w:lang w:eastAsia="ru-RU"/>
        </w:rPr>
        <w:t>Расстройства со стороны печени и желчевыводящих путей</w:t>
      </w:r>
    </w:p>
    <w:p w14:paraId="670678F3" w14:textId="77777777" w:rsidR="00A61D80" w:rsidRPr="00A61D80" w:rsidRDefault="00A61D80" w:rsidP="00F602A1">
      <w:pPr>
        <w:spacing w:after="0" w:line="240" w:lineRule="auto"/>
        <w:ind w:left="2127" w:right="283" w:hanging="2127"/>
        <w:rPr>
          <w:rFonts w:ascii="Times New Roman" w:eastAsia="Times New Roman" w:hAnsi="Times New Roman" w:cs="Times New Roman"/>
          <w:snapToGrid w:val="0"/>
          <w:sz w:val="24"/>
          <w:szCs w:val="24"/>
          <w:lang w:eastAsia="ru-RU"/>
        </w:rPr>
      </w:pPr>
      <w:r w:rsidRPr="00A61D80">
        <w:rPr>
          <w:rFonts w:ascii="Times New Roman" w:eastAsia="Times New Roman" w:hAnsi="Times New Roman" w:cs="Times New Roman"/>
          <w:snapToGrid w:val="0"/>
          <w:sz w:val="24"/>
          <w:szCs w:val="24"/>
          <w:lang w:eastAsia="ru-RU"/>
        </w:rPr>
        <w:t xml:space="preserve">нечасто: </w:t>
      </w:r>
      <w:r w:rsidRPr="00A61D80">
        <w:rPr>
          <w:rFonts w:ascii="Times New Roman" w:eastAsia="Times New Roman" w:hAnsi="Times New Roman" w:cs="Times New Roman"/>
          <w:snapToGrid w:val="0"/>
          <w:sz w:val="24"/>
          <w:szCs w:val="24"/>
          <w:lang w:eastAsia="ru-RU"/>
        </w:rPr>
        <w:tab/>
        <w:t xml:space="preserve">повышение активности печеночных ферментов, </w:t>
      </w:r>
      <w:proofErr w:type="spellStart"/>
      <w:r w:rsidRPr="00A61D80">
        <w:rPr>
          <w:rFonts w:ascii="Times New Roman" w:eastAsia="Times New Roman" w:hAnsi="Times New Roman" w:cs="Times New Roman"/>
          <w:snapToGrid w:val="0"/>
          <w:sz w:val="24"/>
          <w:szCs w:val="24"/>
          <w:lang w:eastAsia="ru-RU"/>
        </w:rPr>
        <w:t>гипербилирубинемия</w:t>
      </w:r>
      <w:proofErr w:type="spellEnd"/>
      <w:r w:rsidRPr="00A61D80">
        <w:rPr>
          <w:rFonts w:ascii="Times New Roman" w:eastAsia="Times New Roman" w:hAnsi="Times New Roman" w:cs="Times New Roman"/>
          <w:snapToGrid w:val="0"/>
          <w:sz w:val="24"/>
          <w:szCs w:val="24"/>
          <w:lang w:eastAsia="ru-RU"/>
        </w:rPr>
        <w:t xml:space="preserve">, желтуха </w:t>
      </w:r>
    </w:p>
    <w:p w14:paraId="7E5AE135" w14:textId="77777777" w:rsidR="00A61D80" w:rsidRPr="00A61D80" w:rsidRDefault="00A61D80" w:rsidP="00F602A1">
      <w:pPr>
        <w:spacing w:after="0" w:line="240" w:lineRule="auto"/>
        <w:ind w:right="283"/>
        <w:rPr>
          <w:rFonts w:ascii="Times New Roman" w:eastAsia="Times New Roman" w:hAnsi="Times New Roman" w:cs="Times New Roman"/>
          <w:snapToGrid w:val="0"/>
          <w:sz w:val="24"/>
          <w:szCs w:val="24"/>
          <w:lang w:eastAsia="ru-RU"/>
        </w:rPr>
      </w:pPr>
      <w:r w:rsidRPr="00A61D80">
        <w:rPr>
          <w:rFonts w:ascii="Times New Roman" w:eastAsia="Times New Roman" w:hAnsi="Times New Roman" w:cs="Times New Roman"/>
          <w:snapToGrid w:val="0"/>
          <w:sz w:val="24"/>
          <w:szCs w:val="24"/>
          <w:lang w:eastAsia="ru-RU"/>
        </w:rPr>
        <w:t>частота неизвестна: гепатит</w:t>
      </w:r>
    </w:p>
    <w:p w14:paraId="7F7EB3C6" w14:textId="77777777" w:rsidR="00A61D80" w:rsidRPr="00A61D80" w:rsidRDefault="00A61D80" w:rsidP="00F602A1">
      <w:pPr>
        <w:spacing w:after="0" w:line="240" w:lineRule="auto"/>
        <w:ind w:right="283"/>
        <w:rPr>
          <w:rFonts w:ascii="Times New Roman" w:eastAsia="Times New Roman" w:hAnsi="Times New Roman" w:cs="Times New Roman"/>
          <w:i/>
          <w:iCs/>
          <w:snapToGrid w:val="0"/>
          <w:sz w:val="24"/>
          <w:szCs w:val="24"/>
          <w:lang w:eastAsia="ru-RU"/>
        </w:rPr>
      </w:pPr>
      <w:r w:rsidRPr="00A61D80">
        <w:rPr>
          <w:rFonts w:ascii="Times New Roman" w:eastAsia="Times New Roman" w:hAnsi="Times New Roman" w:cs="Times New Roman"/>
          <w:i/>
          <w:iCs/>
          <w:snapToGrid w:val="0"/>
          <w:sz w:val="24"/>
          <w:szCs w:val="24"/>
          <w:lang w:eastAsia="ru-RU"/>
        </w:rPr>
        <w:t xml:space="preserve">Нарушения со стороны кожи и подкожной ткани </w:t>
      </w:r>
    </w:p>
    <w:p w14:paraId="3AC3A725" w14:textId="77777777" w:rsidR="00A61D80" w:rsidRPr="00A61D80" w:rsidRDefault="00A61D80" w:rsidP="00F602A1">
      <w:pPr>
        <w:spacing w:after="0" w:line="240" w:lineRule="auto"/>
        <w:ind w:right="283"/>
        <w:rPr>
          <w:rFonts w:ascii="Times New Roman" w:eastAsia="Times New Roman" w:hAnsi="Times New Roman" w:cs="Times New Roman"/>
          <w:snapToGrid w:val="0"/>
          <w:sz w:val="24"/>
          <w:szCs w:val="24"/>
          <w:lang w:eastAsia="ru-RU"/>
        </w:rPr>
      </w:pPr>
      <w:r w:rsidRPr="00A61D80">
        <w:rPr>
          <w:rFonts w:ascii="Times New Roman" w:eastAsia="Times New Roman" w:hAnsi="Times New Roman" w:cs="Times New Roman"/>
          <w:snapToGrid w:val="0"/>
          <w:sz w:val="24"/>
          <w:szCs w:val="24"/>
          <w:lang w:eastAsia="ru-RU"/>
        </w:rPr>
        <w:t>очень часто:</w:t>
      </w:r>
      <w:r w:rsidRPr="00A61D80">
        <w:rPr>
          <w:rFonts w:ascii="Times New Roman" w:eastAsia="Times New Roman" w:hAnsi="Times New Roman" w:cs="Times New Roman"/>
          <w:snapToGrid w:val="0"/>
          <w:sz w:val="24"/>
          <w:szCs w:val="24"/>
          <w:lang w:eastAsia="ru-RU"/>
        </w:rPr>
        <w:tab/>
      </w:r>
      <w:r w:rsidRPr="00A61D80">
        <w:rPr>
          <w:rFonts w:ascii="Times New Roman" w:eastAsia="Times New Roman" w:hAnsi="Times New Roman" w:cs="Times New Roman"/>
          <w:snapToGrid w:val="0"/>
          <w:sz w:val="24"/>
          <w:szCs w:val="24"/>
          <w:lang w:eastAsia="ru-RU"/>
        </w:rPr>
        <w:tab/>
        <w:t xml:space="preserve">повышенная потливость </w:t>
      </w:r>
    </w:p>
    <w:p w14:paraId="7EF005C9" w14:textId="77777777" w:rsidR="00A61D80" w:rsidRPr="00A61D80" w:rsidRDefault="00A61D80" w:rsidP="00F602A1">
      <w:pPr>
        <w:spacing w:after="0" w:line="240" w:lineRule="auto"/>
        <w:ind w:left="2127" w:right="283" w:hanging="2127"/>
        <w:rPr>
          <w:rFonts w:ascii="Times New Roman" w:eastAsia="Times New Roman" w:hAnsi="Times New Roman" w:cs="Times New Roman"/>
          <w:snapToGrid w:val="0"/>
          <w:sz w:val="24"/>
          <w:szCs w:val="24"/>
          <w:lang w:eastAsia="ru-RU"/>
        </w:rPr>
      </w:pPr>
      <w:r w:rsidRPr="00A61D80">
        <w:rPr>
          <w:rFonts w:ascii="Times New Roman" w:eastAsia="Times New Roman" w:hAnsi="Times New Roman" w:cs="Times New Roman"/>
          <w:snapToGrid w:val="0"/>
          <w:sz w:val="24"/>
          <w:szCs w:val="24"/>
          <w:lang w:eastAsia="ru-RU"/>
        </w:rPr>
        <w:t>часто:</w:t>
      </w:r>
      <w:r w:rsidRPr="00A61D80">
        <w:rPr>
          <w:rFonts w:ascii="Times New Roman" w:eastAsia="Times New Roman" w:hAnsi="Times New Roman" w:cs="Times New Roman"/>
          <w:snapToGrid w:val="0"/>
          <w:sz w:val="24"/>
          <w:szCs w:val="24"/>
          <w:lang w:eastAsia="ru-RU"/>
        </w:rPr>
        <w:tab/>
        <w:t xml:space="preserve">алопеция, кожная сыпь (в том числе </w:t>
      </w:r>
      <w:proofErr w:type="spellStart"/>
      <w:r w:rsidRPr="00A61D80">
        <w:rPr>
          <w:rFonts w:ascii="Times New Roman" w:eastAsia="Times New Roman" w:hAnsi="Times New Roman" w:cs="Times New Roman"/>
          <w:snapToGrid w:val="0"/>
          <w:sz w:val="24"/>
          <w:szCs w:val="24"/>
          <w:lang w:eastAsia="ru-RU"/>
        </w:rPr>
        <w:t>эритематозная</w:t>
      </w:r>
      <w:proofErr w:type="spellEnd"/>
      <w:r w:rsidRPr="00A61D80">
        <w:rPr>
          <w:rFonts w:ascii="Times New Roman" w:eastAsia="Times New Roman" w:hAnsi="Times New Roman" w:cs="Times New Roman"/>
          <w:snapToGrid w:val="0"/>
          <w:sz w:val="24"/>
          <w:szCs w:val="24"/>
          <w:lang w:eastAsia="ru-RU"/>
        </w:rPr>
        <w:t xml:space="preserve">, </w:t>
      </w:r>
      <w:proofErr w:type="spellStart"/>
      <w:r w:rsidRPr="00A61D80">
        <w:rPr>
          <w:rFonts w:ascii="Times New Roman" w:eastAsia="Times New Roman" w:hAnsi="Times New Roman" w:cs="Times New Roman"/>
          <w:snapToGrid w:val="0"/>
          <w:sz w:val="24"/>
          <w:szCs w:val="24"/>
          <w:lang w:eastAsia="ru-RU"/>
        </w:rPr>
        <w:t>макулопапулярная</w:t>
      </w:r>
      <w:proofErr w:type="spellEnd"/>
      <w:r w:rsidRPr="00A61D80">
        <w:rPr>
          <w:rFonts w:ascii="Times New Roman" w:eastAsia="Times New Roman" w:hAnsi="Times New Roman" w:cs="Times New Roman"/>
          <w:snapToGrid w:val="0"/>
          <w:sz w:val="24"/>
          <w:szCs w:val="24"/>
          <w:lang w:eastAsia="ru-RU"/>
        </w:rPr>
        <w:t xml:space="preserve">, </w:t>
      </w:r>
      <w:proofErr w:type="spellStart"/>
      <w:r w:rsidRPr="00A61D80">
        <w:rPr>
          <w:rFonts w:ascii="Times New Roman" w:eastAsia="Times New Roman" w:hAnsi="Times New Roman" w:cs="Times New Roman"/>
          <w:snapToGrid w:val="0"/>
          <w:sz w:val="24"/>
          <w:szCs w:val="24"/>
          <w:lang w:eastAsia="ru-RU"/>
        </w:rPr>
        <w:t>псориаформная</w:t>
      </w:r>
      <w:proofErr w:type="spellEnd"/>
      <w:r w:rsidRPr="00A61D80">
        <w:rPr>
          <w:rFonts w:ascii="Times New Roman" w:eastAsia="Times New Roman" w:hAnsi="Times New Roman" w:cs="Times New Roman"/>
          <w:snapToGrid w:val="0"/>
          <w:sz w:val="24"/>
          <w:szCs w:val="24"/>
          <w:lang w:eastAsia="ru-RU"/>
        </w:rPr>
        <w:t xml:space="preserve"> и пузырчатая), сухость кожи</w:t>
      </w:r>
    </w:p>
    <w:p w14:paraId="591AFDEF" w14:textId="77777777" w:rsidR="00A61D80" w:rsidRPr="00A61D80" w:rsidRDefault="00A61D80" w:rsidP="00F602A1">
      <w:pPr>
        <w:spacing w:after="0" w:line="240" w:lineRule="auto"/>
        <w:ind w:right="283"/>
        <w:rPr>
          <w:rFonts w:ascii="Times New Roman" w:eastAsia="Times New Roman" w:hAnsi="Times New Roman" w:cs="Times New Roman"/>
          <w:snapToGrid w:val="0"/>
          <w:sz w:val="24"/>
          <w:szCs w:val="24"/>
          <w:lang w:eastAsia="ru-RU"/>
        </w:rPr>
      </w:pPr>
      <w:r w:rsidRPr="00A61D80">
        <w:rPr>
          <w:rFonts w:ascii="Times New Roman" w:eastAsia="Times New Roman" w:hAnsi="Times New Roman" w:cs="Times New Roman"/>
          <w:snapToGrid w:val="0"/>
          <w:sz w:val="24"/>
          <w:szCs w:val="24"/>
          <w:lang w:eastAsia="ru-RU"/>
        </w:rPr>
        <w:t xml:space="preserve">нечасто: </w:t>
      </w:r>
      <w:r w:rsidRPr="00A61D80">
        <w:rPr>
          <w:rFonts w:ascii="Times New Roman" w:eastAsia="Times New Roman" w:hAnsi="Times New Roman" w:cs="Times New Roman"/>
          <w:snapToGrid w:val="0"/>
          <w:sz w:val="24"/>
          <w:szCs w:val="24"/>
          <w:lang w:eastAsia="ru-RU"/>
        </w:rPr>
        <w:tab/>
      </w:r>
      <w:r w:rsidRPr="00A61D80">
        <w:rPr>
          <w:rFonts w:ascii="Times New Roman" w:eastAsia="Times New Roman" w:hAnsi="Times New Roman" w:cs="Times New Roman"/>
          <w:snapToGrid w:val="0"/>
          <w:sz w:val="24"/>
          <w:szCs w:val="24"/>
          <w:lang w:eastAsia="ru-RU"/>
        </w:rPr>
        <w:tab/>
        <w:t xml:space="preserve">кожный зуд, крапивница </w:t>
      </w:r>
    </w:p>
    <w:p w14:paraId="7B8C94DC" w14:textId="77777777" w:rsidR="00A61D80" w:rsidRPr="00A61D80" w:rsidRDefault="00A61D80" w:rsidP="00F602A1">
      <w:pPr>
        <w:spacing w:after="0" w:line="240" w:lineRule="auto"/>
        <w:ind w:left="2127" w:right="283" w:hanging="2127"/>
        <w:rPr>
          <w:rFonts w:ascii="Times New Roman" w:eastAsia="Times New Roman" w:hAnsi="Times New Roman" w:cs="Times New Roman"/>
          <w:snapToGrid w:val="0"/>
          <w:sz w:val="24"/>
          <w:szCs w:val="24"/>
          <w:lang w:eastAsia="ru-RU"/>
        </w:rPr>
      </w:pPr>
      <w:r w:rsidRPr="00A61D80">
        <w:rPr>
          <w:rFonts w:ascii="Times New Roman" w:eastAsia="Times New Roman" w:hAnsi="Times New Roman" w:cs="Times New Roman"/>
          <w:snapToGrid w:val="0"/>
          <w:sz w:val="24"/>
          <w:szCs w:val="24"/>
          <w:lang w:eastAsia="ru-RU"/>
        </w:rPr>
        <w:t>частота неизвестна:</w:t>
      </w:r>
      <w:r w:rsidRPr="00A61D80">
        <w:rPr>
          <w:rFonts w:ascii="Times New Roman" w:eastAsia="Times New Roman" w:hAnsi="Times New Roman" w:cs="Times New Roman"/>
          <w:snapToGrid w:val="0"/>
          <w:sz w:val="24"/>
          <w:szCs w:val="24"/>
          <w:lang w:eastAsia="ru-RU"/>
        </w:rPr>
        <w:tab/>
        <w:t xml:space="preserve">ангионевротический отёк, токсический эпидермальный </w:t>
      </w:r>
      <w:proofErr w:type="spellStart"/>
      <w:r w:rsidRPr="00A61D80">
        <w:rPr>
          <w:rFonts w:ascii="Times New Roman" w:eastAsia="Times New Roman" w:hAnsi="Times New Roman" w:cs="Times New Roman"/>
          <w:snapToGrid w:val="0"/>
          <w:sz w:val="24"/>
          <w:szCs w:val="24"/>
          <w:lang w:eastAsia="ru-RU"/>
        </w:rPr>
        <w:t>некролиз</w:t>
      </w:r>
      <w:proofErr w:type="spellEnd"/>
      <w:r w:rsidRPr="00A61D80">
        <w:rPr>
          <w:rFonts w:ascii="Times New Roman" w:eastAsia="Times New Roman" w:hAnsi="Times New Roman" w:cs="Times New Roman"/>
          <w:snapToGrid w:val="0"/>
          <w:sz w:val="24"/>
          <w:szCs w:val="24"/>
          <w:lang w:eastAsia="ru-RU"/>
        </w:rPr>
        <w:t xml:space="preserve">, </w:t>
      </w:r>
      <w:proofErr w:type="spellStart"/>
      <w:r w:rsidRPr="00A61D80">
        <w:rPr>
          <w:rFonts w:ascii="Times New Roman" w:eastAsia="Times New Roman" w:hAnsi="Times New Roman" w:cs="Times New Roman"/>
          <w:snapToGrid w:val="0"/>
          <w:sz w:val="24"/>
          <w:szCs w:val="24"/>
          <w:lang w:eastAsia="ru-RU"/>
        </w:rPr>
        <w:t>мультиформная</w:t>
      </w:r>
      <w:proofErr w:type="spellEnd"/>
      <w:r w:rsidRPr="00A61D80">
        <w:rPr>
          <w:rFonts w:ascii="Times New Roman" w:eastAsia="Times New Roman" w:hAnsi="Times New Roman" w:cs="Times New Roman"/>
          <w:snapToGrid w:val="0"/>
          <w:sz w:val="24"/>
          <w:szCs w:val="24"/>
          <w:lang w:eastAsia="ru-RU"/>
        </w:rPr>
        <w:t xml:space="preserve"> эритема</w:t>
      </w:r>
    </w:p>
    <w:p w14:paraId="5B37B05C" w14:textId="77777777" w:rsidR="00A61D80" w:rsidRPr="00A61D80" w:rsidRDefault="00A61D80" w:rsidP="00F602A1">
      <w:pPr>
        <w:spacing w:after="0" w:line="240" w:lineRule="auto"/>
        <w:ind w:right="283"/>
        <w:rPr>
          <w:rFonts w:ascii="Times New Roman" w:eastAsia="Times New Roman" w:hAnsi="Times New Roman" w:cs="Times New Roman"/>
          <w:i/>
          <w:iCs/>
          <w:snapToGrid w:val="0"/>
          <w:sz w:val="24"/>
          <w:szCs w:val="24"/>
          <w:lang w:eastAsia="ru-RU"/>
        </w:rPr>
      </w:pPr>
      <w:r w:rsidRPr="00A61D80">
        <w:rPr>
          <w:rFonts w:ascii="Times New Roman" w:eastAsia="Times New Roman" w:hAnsi="Times New Roman" w:cs="Times New Roman"/>
          <w:i/>
          <w:iCs/>
          <w:snapToGrid w:val="0"/>
          <w:sz w:val="24"/>
          <w:szCs w:val="24"/>
          <w:lang w:eastAsia="ru-RU"/>
        </w:rPr>
        <w:t xml:space="preserve">Нарушения со стороны костной, мышечной и соединительной ткани </w:t>
      </w:r>
    </w:p>
    <w:p w14:paraId="02759DC1" w14:textId="77777777" w:rsidR="00A61D80" w:rsidRPr="00A61D80" w:rsidRDefault="00A61D80" w:rsidP="00F602A1">
      <w:pPr>
        <w:spacing w:after="0" w:line="240" w:lineRule="auto"/>
        <w:ind w:right="283"/>
        <w:rPr>
          <w:rFonts w:ascii="Times New Roman" w:eastAsia="Times New Roman" w:hAnsi="Times New Roman" w:cs="Times New Roman"/>
          <w:snapToGrid w:val="0"/>
          <w:sz w:val="24"/>
          <w:szCs w:val="24"/>
          <w:lang w:eastAsia="ru-RU"/>
        </w:rPr>
      </w:pPr>
      <w:r w:rsidRPr="00A61D80">
        <w:rPr>
          <w:rFonts w:ascii="Times New Roman" w:eastAsia="Times New Roman" w:hAnsi="Times New Roman" w:cs="Times New Roman"/>
          <w:snapToGrid w:val="0"/>
          <w:sz w:val="24"/>
          <w:szCs w:val="24"/>
          <w:lang w:eastAsia="ru-RU"/>
        </w:rPr>
        <w:t xml:space="preserve">очень часто: </w:t>
      </w:r>
      <w:r w:rsidRPr="00A61D80">
        <w:rPr>
          <w:rFonts w:ascii="Times New Roman" w:eastAsia="Times New Roman" w:hAnsi="Times New Roman" w:cs="Times New Roman"/>
          <w:snapToGrid w:val="0"/>
          <w:sz w:val="24"/>
          <w:szCs w:val="24"/>
          <w:lang w:eastAsia="ru-RU"/>
        </w:rPr>
        <w:tab/>
      </w:r>
      <w:r w:rsidRPr="00A61D80">
        <w:rPr>
          <w:rFonts w:ascii="Times New Roman" w:eastAsia="Times New Roman" w:hAnsi="Times New Roman" w:cs="Times New Roman"/>
          <w:snapToGrid w:val="0"/>
          <w:sz w:val="24"/>
          <w:szCs w:val="24"/>
          <w:lang w:eastAsia="ru-RU"/>
        </w:rPr>
        <w:tab/>
        <w:t xml:space="preserve">артралгия </w:t>
      </w:r>
    </w:p>
    <w:p w14:paraId="7531B0E7" w14:textId="77777777" w:rsidR="00A61D80" w:rsidRPr="00A61D80" w:rsidRDefault="00A61D80" w:rsidP="00F602A1">
      <w:pPr>
        <w:spacing w:after="0" w:line="240" w:lineRule="auto"/>
        <w:ind w:right="283"/>
        <w:rPr>
          <w:rFonts w:ascii="Times New Roman" w:eastAsia="Times New Roman" w:hAnsi="Times New Roman" w:cs="Times New Roman"/>
          <w:snapToGrid w:val="0"/>
          <w:sz w:val="24"/>
          <w:szCs w:val="24"/>
          <w:lang w:eastAsia="ru-RU"/>
        </w:rPr>
      </w:pPr>
      <w:r w:rsidRPr="00A61D80">
        <w:rPr>
          <w:rFonts w:ascii="Times New Roman" w:eastAsia="Times New Roman" w:hAnsi="Times New Roman" w:cs="Times New Roman"/>
          <w:snapToGrid w:val="0"/>
          <w:sz w:val="24"/>
          <w:szCs w:val="24"/>
          <w:lang w:eastAsia="ru-RU"/>
        </w:rPr>
        <w:t xml:space="preserve">часто: </w:t>
      </w:r>
      <w:r w:rsidRPr="00A61D80">
        <w:rPr>
          <w:rFonts w:ascii="Times New Roman" w:eastAsia="Times New Roman" w:hAnsi="Times New Roman" w:cs="Times New Roman"/>
          <w:snapToGrid w:val="0"/>
          <w:sz w:val="24"/>
          <w:szCs w:val="24"/>
          <w:lang w:eastAsia="ru-RU"/>
        </w:rPr>
        <w:tab/>
      </w:r>
      <w:r w:rsidRPr="00A61D80">
        <w:rPr>
          <w:rFonts w:ascii="Times New Roman" w:eastAsia="Times New Roman" w:hAnsi="Times New Roman" w:cs="Times New Roman"/>
          <w:snapToGrid w:val="0"/>
          <w:sz w:val="24"/>
          <w:szCs w:val="24"/>
          <w:lang w:eastAsia="ru-RU"/>
        </w:rPr>
        <w:tab/>
      </w:r>
      <w:r w:rsidRPr="00A61D80">
        <w:rPr>
          <w:rFonts w:ascii="Times New Roman" w:eastAsia="Times New Roman" w:hAnsi="Times New Roman" w:cs="Times New Roman"/>
          <w:snapToGrid w:val="0"/>
          <w:sz w:val="24"/>
          <w:szCs w:val="24"/>
          <w:lang w:eastAsia="ru-RU"/>
        </w:rPr>
        <w:tab/>
        <w:t>миалгия, боль в костях</w:t>
      </w:r>
      <w:r w:rsidRPr="00A61D80">
        <w:rPr>
          <w:rFonts w:ascii="Times New Roman" w:eastAsia="Times New Roman" w:hAnsi="Times New Roman" w:cs="Times New Roman"/>
          <w:snapToGrid w:val="0"/>
          <w:sz w:val="24"/>
          <w:szCs w:val="24"/>
          <w:vertAlign w:val="superscript"/>
          <w:lang w:eastAsia="ru-RU"/>
        </w:rPr>
        <w:t>1</w:t>
      </w:r>
      <w:r w:rsidRPr="00A61D80">
        <w:rPr>
          <w:rFonts w:ascii="Times New Roman" w:eastAsia="Times New Roman" w:hAnsi="Times New Roman" w:cs="Times New Roman"/>
          <w:snapToGrid w:val="0"/>
          <w:sz w:val="24"/>
          <w:szCs w:val="24"/>
          <w:lang w:eastAsia="ru-RU"/>
        </w:rPr>
        <w:t>, остеопороз, переломы костей, артрит</w:t>
      </w:r>
    </w:p>
    <w:p w14:paraId="0E5C8C2E" w14:textId="77777777" w:rsidR="00A61D80" w:rsidRPr="00A61D80" w:rsidRDefault="00A61D80" w:rsidP="00F602A1">
      <w:pPr>
        <w:spacing w:after="0" w:line="240" w:lineRule="auto"/>
        <w:ind w:right="283"/>
        <w:rPr>
          <w:rFonts w:ascii="Times New Roman" w:eastAsia="Times New Roman" w:hAnsi="Times New Roman" w:cs="Times New Roman"/>
          <w:snapToGrid w:val="0"/>
          <w:sz w:val="24"/>
          <w:szCs w:val="24"/>
          <w:lang w:eastAsia="ru-RU"/>
        </w:rPr>
      </w:pPr>
      <w:r w:rsidRPr="00A61D80">
        <w:rPr>
          <w:rFonts w:ascii="Times New Roman" w:eastAsia="Times New Roman" w:hAnsi="Times New Roman" w:cs="Times New Roman"/>
          <w:snapToGrid w:val="0"/>
          <w:sz w:val="24"/>
          <w:szCs w:val="24"/>
          <w:lang w:eastAsia="ru-RU"/>
        </w:rPr>
        <w:t>нечасто:</w:t>
      </w:r>
      <w:r w:rsidRPr="00A61D80">
        <w:rPr>
          <w:rFonts w:ascii="Times New Roman" w:eastAsia="Times New Roman" w:hAnsi="Times New Roman" w:cs="Times New Roman"/>
          <w:snapToGrid w:val="0"/>
          <w:sz w:val="24"/>
          <w:szCs w:val="24"/>
          <w:lang w:eastAsia="ru-RU"/>
        </w:rPr>
        <w:tab/>
      </w:r>
      <w:r w:rsidRPr="00A61D80">
        <w:rPr>
          <w:rFonts w:ascii="Times New Roman" w:eastAsia="Times New Roman" w:hAnsi="Times New Roman" w:cs="Times New Roman"/>
          <w:snapToGrid w:val="0"/>
          <w:sz w:val="24"/>
          <w:szCs w:val="24"/>
          <w:lang w:eastAsia="ru-RU"/>
        </w:rPr>
        <w:tab/>
      </w:r>
      <w:proofErr w:type="spellStart"/>
      <w:r w:rsidRPr="00A61D80">
        <w:rPr>
          <w:rFonts w:ascii="Times New Roman" w:eastAsia="Times New Roman" w:hAnsi="Times New Roman" w:cs="Times New Roman"/>
          <w:snapToGrid w:val="0"/>
          <w:sz w:val="24"/>
          <w:szCs w:val="24"/>
          <w:lang w:eastAsia="ru-RU"/>
        </w:rPr>
        <w:t>тендинит</w:t>
      </w:r>
      <w:proofErr w:type="spellEnd"/>
    </w:p>
    <w:p w14:paraId="0F7A674D" w14:textId="77777777" w:rsidR="00A61D80" w:rsidRPr="00A61D80" w:rsidRDefault="00A61D80" w:rsidP="00F602A1">
      <w:pPr>
        <w:spacing w:after="0" w:line="240" w:lineRule="auto"/>
        <w:ind w:right="283"/>
        <w:rPr>
          <w:rFonts w:ascii="Times New Roman" w:eastAsia="Times New Roman" w:hAnsi="Times New Roman" w:cs="Times New Roman"/>
          <w:snapToGrid w:val="0"/>
          <w:sz w:val="24"/>
          <w:szCs w:val="24"/>
          <w:lang w:eastAsia="ru-RU"/>
        </w:rPr>
      </w:pPr>
      <w:r w:rsidRPr="00A61D80">
        <w:rPr>
          <w:rFonts w:ascii="Times New Roman" w:eastAsia="Times New Roman" w:hAnsi="Times New Roman" w:cs="Times New Roman"/>
          <w:snapToGrid w:val="0"/>
          <w:sz w:val="24"/>
          <w:szCs w:val="24"/>
          <w:lang w:eastAsia="ru-RU"/>
        </w:rPr>
        <w:t>редко:</w:t>
      </w:r>
      <w:r w:rsidRPr="00A61D80">
        <w:rPr>
          <w:rFonts w:ascii="Times New Roman" w:eastAsia="Times New Roman" w:hAnsi="Times New Roman" w:cs="Times New Roman"/>
          <w:snapToGrid w:val="0"/>
          <w:sz w:val="24"/>
          <w:szCs w:val="24"/>
          <w:lang w:eastAsia="ru-RU"/>
        </w:rPr>
        <w:tab/>
      </w:r>
      <w:r w:rsidRPr="00A61D80">
        <w:rPr>
          <w:rFonts w:ascii="Times New Roman" w:eastAsia="Times New Roman" w:hAnsi="Times New Roman" w:cs="Times New Roman"/>
          <w:snapToGrid w:val="0"/>
          <w:sz w:val="24"/>
          <w:szCs w:val="24"/>
          <w:lang w:eastAsia="ru-RU"/>
        </w:rPr>
        <w:tab/>
      </w:r>
      <w:r w:rsidRPr="00A61D80">
        <w:rPr>
          <w:rFonts w:ascii="Times New Roman" w:eastAsia="Times New Roman" w:hAnsi="Times New Roman" w:cs="Times New Roman"/>
          <w:snapToGrid w:val="0"/>
          <w:sz w:val="24"/>
          <w:szCs w:val="24"/>
          <w:lang w:eastAsia="ru-RU"/>
        </w:rPr>
        <w:tab/>
        <w:t>разрыв сухожилий</w:t>
      </w:r>
    </w:p>
    <w:p w14:paraId="65D9BD5A" w14:textId="77777777" w:rsidR="00A61D80" w:rsidRPr="00A61D80" w:rsidRDefault="00A61D80" w:rsidP="00F602A1">
      <w:pPr>
        <w:spacing w:after="0" w:line="240" w:lineRule="auto"/>
        <w:ind w:right="283"/>
        <w:rPr>
          <w:rFonts w:ascii="Times New Roman" w:eastAsia="Times New Roman" w:hAnsi="Times New Roman" w:cs="Times New Roman"/>
          <w:snapToGrid w:val="0"/>
          <w:sz w:val="24"/>
          <w:szCs w:val="24"/>
          <w:lang w:eastAsia="ru-RU"/>
        </w:rPr>
      </w:pPr>
      <w:r w:rsidRPr="00A61D80">
        <w:rPr>
          <w:rFonts w:ascii="Times New Roman" w:eastAsia="Times New Roman" w:hAnsi="Times New Roman" w:cs="Times New Roman"/>
          <w:snapToGrid w:val="0"/>
          <w:sz w:val="24"/>
          <w:szCs w:val="24"/>
          <w:lang w:eastAsia="ru-RU"/>
        </w:rPr>
        <w:t>частота неизвестна:</w:t>
      </w:r>
      <w:r w:rsidRPr="00A61D80">
        <w:rPr>
          <w:rFonts w:ascii="Times New Roman" w:eastAsia="Times New Roman" w:hAnsi="Times New Roman" w:cs="Times New Roman"/>
          <w:snapToGrid w:val="0"/>
          <w:sz w:val="24"/>
          <w:szCs w:val="24"/>
          <w:lang w:eastAsia="ru-RU"/>
        </w:rPr>
        <w:tab/>
        <w:t>триггерный палец</w:t>
      </w:r>
    </w:p>
    <w:p w14:paraId="6D42115D" w14:textId="77777777" w:rsidR="00A61D80" w:rsidRPr="00A61D80" w:rsidRDefault="00A61D80" w:rsidP="00F602A1">
      <w:pPr>
        <w:spacing w:after="0" w:line="240" w:lineRule="auto"/>
        <w:ind w:right="283"/>
        <w:rPr>
          <w:rFonts w:ascii="Times New Roman" w:eastAsia="Times New Roman" w:hAnsi="Times New Roman" w:cs="Times New Roman"/>
          <w:i/>
          <w:iCs/>
          <w:snapToGrid w:val="0"/>
          <w:sz w:val="24"/>
          <w:szCs w:val="24"/>
          <w:lang w:eastAsia="ru-RU"/>
        </w:rPr>
      </w:pPr>
      <w:r w:rsidRPr="00A61D80">
        <w:rPr>
          <w:rFonts w:ascii="Times New Roman" w:eastAsia="Times New Roman" w:hAnsi="Times New Roman" w:cs="Times New Roman"/>
          <w:i/>
          <w:iCs/>
          <w:snapToGrid w:val="0"/>
          <w:sz w:val="24"/>
          <w:szCs w:val="24"/>
          <w:lang w:eastAsia="ru-RU"/>
        </w:rPr>
        <w:t>Нарушения со стороны почек и мочевыводящих путей</w:t>
      </w:r>
    </w:p>
    <w:p w14:paraId="1AA11DAA" w14:textId="77777777" w:rsidR="00A61D80" w:rsidRPr="00A61D80" w:rsidRDefault="00A61D80" w:rsidP="00F602A1">
      <w:pPr>
        <w:spacing w:after="0" w:line="240" w:lineRule="auto"/>
        <w:ind w:right="283"/>
        <w:rPr>
          <w:rFonts w:ascii="Times New Roman" w:eastAsia="Times New Roman" w:hAnsi="Times New Roman" w:cs="Times New Roman"/>
          <w:snapToGrid w:val="0"/>
          <w:sz w:val="24"/>
          <w:szCs w:val="24"/>
          <w:lang w:eastAsia="ru-RU"/>
        </w:rPr>
      </w:pPr>
      <w:r w:rsidRPr="00A61D80">
        <w:rPr>
          <w:rFonts w:ascii="Times New Roman" w:eastAsia="Times New Roman" w:hAnsi="Times New Roman" w:cs="Times New Roman"/>
          <w:snapToGrid w:val="0"/>
          <w:sz w:val="24"/>
          <w:szCs w:val="24"/>
          <w:lang w:eastAsia="ru-RU"/>
        </w:rPr>
        <w:t xml:space="preserve">нечасто: </w:t>
      </w:r>
      <w:r w:rsidRPr="00A61D80">
        <w:rPr>
          <w:rFonts w:ascii="Times New Roman" w:eastAsia="Times New Roman" w:hAnsi="Times New Roman" w:cs="Times New Roman"/>
          <w:snapToGrid w:val="0"/>
          <w:sz w:val="24"/>
          <w:szCs w:val="24"/>
          <w:lang w:eastAsia="ru-RU"/>
        </w:rPr>
        <w:tab/>
      </w:r>
      <w:r w:rsidRPr="00A61D80">
        <w:rPr>
          <w:rFonts w:ascii="Times New Roman" w:eastAsia="Times New Roman" w:hAnsi="Times New Roman" w:cs="Times New Roman"/>
          <w:snapToGrid w:val="0"/>
          <w:sz w:val="24"/>
          <w:szCs w:val="24"/>
          <w:lang w:eastAsia="ru-RU"/>
        </w:rPr>
        <w:tab/>
        <w:t xml:space="preserve">повышенная частота мочеотделения </w:t>
      </w:r>
    </w:p>
    <w:p w14:paraId="31FBC66B" w14:textId="77777777" w:rsidR="00A61D80" w:rsidRPr="00A61D80" w:rsidRDefault="00A61D80" w:rsidP="00F602A1">
      <w:pPr>
        <w:spacing w:after="0" w:line="240" w:lineRule="auto"/>
        <w:ind w:right="283"/>
        <w:rPr>
          <w:rFonts w:ascii="Times New Roman" w:eastAsia="Times New Roman" w:hAnsi="Times New Roman" w:cs="Times New Roman"/>
          <w:i/>
          <w:iCs/>
          <w:snapToGrid w:val="0"/>
          <w:sz w:val="24"/>
          <w:szCs w:val="24"/>
          <w:lang w:eastAsia="ru-RU"/>
        </w:rPr>
      </w:pPr>
      <w:r w:rsidRPr="00A61D80">
        <w:rPr>
          <w:rFonts w:ascii="Times New Roman" w:eastAsia="Times New Roman" w:hAnsi="Times New Roman" w:cs="Times New Roman"/>
          <w:i/>
          <w:iCs/>
          <w:snapToGrid w:val="0"/>
          <w:sz w:val="24"/>
          <w:szCs w:val="24"/>
          <w:lang w:eastAsia="ru-RU"/>
        </w:rPr>
        <w:t xml:space="preserve">Нарушения со стороны репродуктивных органов и молочных желез </w:t>
      </w:r>
    </w:p>
    <w:p w14:paraId="22F7D189" w14:textId="77777777" w:rsidR="00A61D80" w:rsidRPr="00A61D80" w:rsidRDefault="00A61D80" w:rsidP="00F602A1">
      <w:pPr>
        <w:spacing w:after="0" w:line="240" w:lineRule="auto"/>
        <w:ind w:right="283"/>
        <w:rPr>
          <w:rFonts w:ascii="Times New Roman" w:eastAsia="Times New Roman" w:hAnsi="Times New Roman" w:cs="Times New Roman"/>
          <w:snapToGrid w:val="0"/>
          <w:sz w:val="24"/>
          <w:szCs w:val="24"/>
          <w:lang w:eastAsia="ru-RU"/>
        </w:rPr>
      </w:pPr>
      <w:r w:rsidRPr="00A61D80">
        <w:rPr>
          <w:rFonts w:ascii="Times New Roman" w:eastAsia="Times New Roman" w:hAnsi="Times New Roman" w:cs="Times New Roman"/>
          <w:snapToGrid w:val="0"/>
          <w:sz w:val="24"/>
          <w:szCs w:val="24"/>
          <w:lang w:eastAsia="ru-RU"/>
        </w:rPr>
        <w:t>часто:</w:t>
      </w:r>
      <w:r w:rsidRPr="00A61D80">
        <w:rPr>
          <w:rFonts w:ascii="Times New Roman" w:eastAsia="Times New Roman" w:hAnsi="Times New Roman" w:cs="Times New Roman"/>
          <w:snapToGrid w:val="0"/>
          <w:sz w:val="24"/>
          <w:szCs w:val="24"/>
          <w:lang w:eastAsia="ru-RU"/>
        </w:rPr>
        <w:tab/>
      </w:r>
      <w:r w:rsidRPr="00A61D80">
        <w:rPr>
          <w:rFonts w:ascii="Times New Roman" w:eastAsia="Times New Roman" w:hAnsi="Times New Roman" w:cs="Times New Roman"/>
          <w:snapToGrid w:val="0"/>
          <w:sz w:val="24"/>
          <w:szCs w:val="24"/>
          <w:lang w:eastAsia="ru-RU"/>
        </w:rPr>
        <w:tab/>
      </w:r>
      <w:r w:rsidRPr="00A61D80">
        <w:rPr>
          <w:rFonts w:ascii="Times New Roman" w:eastAsia="Times New Roman" w:hAnsi="Times New Roman" w:cs="Times New Roman"/>
          <w:snapToGrid w:val="0"/>
          <w:sz w:val="24"/>
          <w:szCs w:val="24"/>
          <w:lang w:eastAsia="ru-RU"/>
        </w:rPr>
        <w:tab/>
        <w:t>вагинальное кровотечение</w:t>
      </w:r>
    </w:p>
    <w:p w14:paraId="182E465F" w14:textId="77777777" w:rsidR="00A61D80" w:rsidRPr="00A61D80" w:rsidRDefault="00A61D80" w:rsidP="00F602A1">
      <w:pPr>
        <w:spacing w:after="0" w:line="240" w:lineRule="auto"/>
        <w:ind w:right="283"/>
        <w:rPr>
          <w:rFonts w:ascii="Times New Roman" w:eastAsia="Times New Roman" w:hAnsi="Times New Roman" w:cs="Times New Roman"/>
          <w:snapToGrid w:val="0"/>
          <w:sz w:val="24"/>
          <w:szCs w:val="24"/>
          <w:lang w:eastAsia="ru-RU"/>
        </w:rPr>
      </w:pPr>
      <w:r w:rsidRPr="00A61D80">
        <w:rPr>
          <w:rFonts w:ascii="Times New Roman" w:eastAsia="Times New Roman" w:hAnsi="Times New Roman" w:cs="Times New Roman"/>
          <w:snapToGrid w:val="0"/>
          <w:sz w:val="24"/>
          <w:szCs w:val="24"/>
          <w:lang w:eastAsia="ru-RU"/>
        </w:rPr>
        <w:t xml:space="preserve">нечасто: </w:t>
      </w:r>
      <w:r w:rsidRPr="00A61D80">
        <w:rPr>
          <w:rFonts w:ascii="Times New Roman" w:eastAsia="Times New Roman" w:hAnsi="Times New Roman" w:cs="Times New Roman"/>
          <w:snapToGrid w:val="0"/>
          <w:sz w:val="24"/>
          <w:szCs w:val="24"/>
          <w:lang w:eastAsia="ru-RU"/>
        </w:rPr>
        <w:tab/>
      </w:r>
      <w:r w:rsidRPr="00A61D80">
        <w:rPr>
          <w:rFonts w:ascii="Times New Roman" w:eastAsia="Times New Roman" w:hAnsi="Times New Roman" w:cs="Times New Roman"/>
          <w:snapToGrid w:val="0"/>
          <w:sz w:val="24"/>
          <w:szCs w:val="24"/>
          <w:lang w:eastAsia="ru-RU"/>
        </w:rPr>
        <w:tab/>
        <w:t xml:space="preserve">выделения из влагалища, сухость влагалища, боль в молочной железе </w:t>
      </w:r>
    </w:p>
    <w:p w14:paraId="424E5692" w14:textId="77777777" w:rsidR="00A61D80" w:rsidRPr="00A61D80" w:rsidRDefault="00A61D80" w:rsidP="00F602A1">
      <w:pPr>
        <w:spacing w:after="0" w:line="240" w:lineRule="auto"/>
        <w:ind w:right="283"/>
        <w:rPr>
          <w:rFonts w:ascii="Times New Roman" w:eastAsia="Times New Roman" w:hAnsi="Times New Roman" w:cs="Times New Roman"/>
          <w:i/>
          <w:iCs/>
          <w:snapToGrid w:val="0"/>
          <w:sz w:val="24"/>
          <w:szCs w:val="24"/>
          <w:lang w:eastAsia="ru-RU"/>
        </w:rPr>
      </w:pPr>
      <w:r w:rsidRPr="00A61D80">
        <w:rPr>
          <w:rFonts w:ascii="Times New Roman" w:eastAsia="Times New Roman" w:hAnsi="Times New Roman" w:cs="Times New Roman"/>
          <w:i/>
          <w:iCs/>
          <w:snapToGrid w:val="0"/>
          <w:sz w:val="24"/>
          <w:szCs w:val="24"/>
          <w:lang w:eastAsia="ru-RU"/>
        </w:rPr>
        <w:t xml:space="preserve">Общие расстройства и нарушения в месте введения </w:t>
      </w:r>
    </w:p>
    <w:p w14:paraId="525BF162" w14:textId="77777777" w:rsidR="00A61D80" w:rsidRPr="00A61D80" w:rsidRDefault="00A61D80" w:rsidP="00F602A1">
      <w:pPr>
        <w:spacing w:after="0" w:line="240" w:lineRule="auto"/>
        <w:ind w:right="283"/>
        <w:rPr>
          <w:rFonts w:ascii="Times New Roman" w:eastAsia="Times New Roman" w:hAnsi="Times New Roman" w:cs="Times New Roman"/>
          <w:snapToGrid w:val="0"/>
          <w:sz w:val="24"/>
          <w:szCs w:val="24"/>
          <w:lang w:eastAsia="ru-RU"/>
        </w:rPr>
      </w:pPr>
      <w:r w:rsidRPr="00A61D80">
        <w:rPr>
          <w:rFonts w:ascii="Times New Roman" w:eastAsia="Times New Roman" w:hAnsi="Times New Roman" w:cs="Times New Roman"/>
          <w:snapToGrid w:val="0"/>
          <w:sz w:val="24"/>
          <w:szCs w:val="24"/>
          <w:lang w:eastAsia="ru-RU"/>
        </w:rPr>
        <w:t xml:space="preserve">очень часто: </w:t>
      </w:r>
      <w:r w:rsidRPr="00A61D80">
        <w:rPr>
          <w:rFonts w:ascii="Times New Roman" w:eastAsia="Times New Roman" w:hAnsi="Times New Roman" w:cs="Times New Roman"/>
          <w:snapToGrid w:val="0"/>
          <w:sz w:val="24"/>
          <w:szCs w:val="24"/>
          <w:lang w:eastAsia="ru-RU"/>
        </w:rPr>
        <w:tab/>
      </w:r>
      <w:r w:rsidRPr="00A61D80">
        <w:rPr>
          <w:rFonts w:ascii="Times New Roman" w:eastAsia="Times New Roman" w:hAnsi="Times New Roman" w:cs="Times New Roman"/>
          <w:snapToGrid w:val="0"/>
          <w:sz w:val="24"/>
          <w:szCs w:val="24"/>
          <w:lang w:eastAsia="ru-RU"/>
        </w:rPr>
        <w:tab/>
        <w:t xml:space="preserve">утомляемость, в том числе астения, недомогание </w:t>
      </w:r>
    </w:p>
    <w:p w14:paraId="2C482E58" w14:textId="77777777" w:rsidR="00A61D80" w:rsidRPr="00A61D80" w:rsidRDefault="00A61D80" w:rsidP="00F602A1">
      <w:pPr>
        <w:spacing w:after="0" w:line="240" w:lineRule="auto"/>
        <w:ind w:right="283"/>
        <w:rPr>
          <w:rFonts w:ascii="Times New Roman" w:eastAsia="Times New Roman" w:hAnsi="Times New Roman" w:cs="Times New Roman"/>
          <w:snapToGrid w:val="0"/>
          <w:sz w:val="24"/>
          <w:szCs w:val="24"/>
          <w:lang w:eastAsia="ru-RU"/>
        </w:rPr>
      </w:pPr>
      <w:r w:rsidRPr="00A61D80">
        <w:rPr>
          <w:rFonts w:ascii="Times New Roman" w:eastAsia="Times New Roman" w:hAnsi="Times New Roman" w:cs="Times New Roman"/>
          <w:snapToGrid w:val="0"/>
          <w:sz w:val="24"/>
          <w:szCs w:val="24"/>
          <w:lang w:eastAsia="ru-RU"/>
        </w:rPr>
        <w:t xml:space="preserve">часто: </w:t>
      </w:r>
      <w:r w:rsidRPr="00A61D80">
        <w:rPr>
          <w:rFonts w:ascii="Times New Roman" w:eastAsia="Times New Roman" w:hAnsi="Times New Roman" w:cs="Times New Roman"/>
          <w:snapToGrid w:val="0"/>
          <w:sz w:val="24"/>
          <w:szCs w:val="24"/>
          <w:lang w:eastAsia="ru-RU"/>
        </w:rPr>
        <w:tab/>
      </w:r>
      <w:r w:rsidRPr="00A61D80">
        <w:rPr>
          <w:rFonts w:ascii="Times New Roman" w:eastAsia="Times New Roman" w:hAnsi="Times New Roman" w:cs="Times New Roman"/>
          <w:snapToGrid w:val="0"/>
          <w:sz w:val="24"/>
          <w:szCs w:val="24"/>
          <w:lang w:eastAsia="ru-RU"/>
        </w:rPr>
        <w:tab/>
      </w:r>
      <w:r w:rsidRPr="00A61D80">
        <w:rPr>
          <w:rFonts w:ascii="Times New Roman" w:eastAsia="Times New Roman" w:hAnsi="Times New Roman" w:cs="Times New Roman"/>
          <w:snapToGrid w:val="0"/>
          <w:sz w:val="24"/>
          <w:szCs w:val="24"/>
          <w:lang w:eastAsia="ru-RU"/>
        </w:rPr>
        <w:tab/>
        <w:t xml:space="preserve">периферические отеки, боль в груди </w:t>
      </w:r>
    </w:p>
    <w:p w14:paraId="6826B577" w14:textId="77777777" w:rsidR="00A61D80" w:rsidRPr="00A61D80" w:rsidRDefault="00A61D80" w:rsidP="00F602A1">
      <w:pPr>
        <w:spacing w:after="0" w:line="240" w:lineRule="auto"/>
        <w:ind w:right="283"/>
        <w:rPr>
          <w:rFonts w:ascii="Times New Roman" w:eastAsia="Times New Roman" w:hAnsi="Times New Roman" w:cs="Times New Roman"/>
          <w:snapToGrid w:val="0"/>
          <w:sz w:val="24"/>
          <w:szCs w:val="24"/>
          <w:lang w:eastAsia="ru-RU"/>
        </w:rPr>
      </w:pPr>
      <w:r w:rsidRPr="00A61D80">
        <w:rPr>
          <w:rFonts w:ascii="Times New Roman" w:eastAsia="Times New Roman" w:hAnsi="Times New Roman" w:cs="Times New Roman"/>
          <w:snapToGrid w:val="0"/>
          <w:sz w:val="24"/>
          <w:szCs w:val="24"/>
          <w:lang w:eastAsia="ru-RU"/>
        </w:rPr>
        <w:t xml:space="preserve">нечасто: </w:t>
      </w:r>
      <w:r w:rsidRPr="00A61D80">
        <w:rPr>
          <w:rFonts w:ascii="Times New Roman" w:eastAsia="Times New Roman" w:hAnsi="Times New Roman" w:cs="Times New Roman"/>
          <w:snapToGrid w:val="0"/>
          <w:sz w:val="24"/>
          <w:szCs w:val="24"/>
          <w:lang w:eastAsia="ru-RU"/>
        </w:rPr>
        <w:tab/>
      </w:r>
      <w:r w:rsidRPr="00A61D80">
        <w:rPr>
          <w:rFonts w:ascii="Times New Roman" w:eastAsia="Times New Roman" w:hAnsi="Times New Roman" w:cs="Times New Roman"/>
          <w:snapToGrid w:val="0"/>
          <w:sz w:val="24"/>
          <w:szCs w:val="24"/>
          <w:lang w:eastAsia="ru-RU"/>
        </w:rPr>
        <w:tab/>
        <w:t xml:space="preserve">общие отёки, повышение температуры, сухость слизистых оболочек, жажда </w:t>
      </w:r>
    </w:p>
    <w:p w14:paraId="300C8BB8" w14:textId="77777777" w:rsidR="00A61D80" w:rsidRPr="00A61D80" w:rsidRDefault="00A61D80" w:rsidP="00F602A1">
      <w:pPr>
        <w:spacing w:after="0" w:line="240" w:lineRule="auto"/>
        <w:ind w:right="283"/>
        <w:rPr>
          <w:rFonts w:ascii="Times New Roman" w:eastAsia="Times New Roman" w:hAnsi="Times New Roman" w:cs="Times New Roman"/>
          <w:i/>
          <w:iCs/>
          <w:snapToGrid w:val="0"/>
          <w:sz w:val="24"/>
          <w:szCs w:val="24"/>
          <w:lang w:eastAsia="ru-RU"/>
        </w:rPr>
      </w:pPr>
      <w:r w:rsidRPr="00A61D80">
        <w:rPr>
          <w:rFonts w:ascii="Times New Roman" w:eastAsia="Times New Roman" w:hAnsi="Times New Roman" w:cs="Times New Roman"/>
          <w:i/>
          <w:iCs/>
          <w:snapToGrid w:val="0"/>
          <w:sz w:val="24"/>
          <w:szCs w:val="24"/>
          <w:lang w:eastAsia="ru-RU"/>
        </w:rPr>
        <w:t xml:space="preserve">Влияние на результаты лабораторных и инструментальных исследований  </w:t>
      </w:r>
    </w:p>
    <w:p w14:paraId="6C58E47D" w14:textId="77777777" w:rsidR="00A61D80" w:rsidRPr="00A61D80" w:rsidRDefault="00A61D80" w:rsidP="00F602A1">
      <w:pPr>
        <w:spacing w:after="0" w:line="240" w:lineRule="auto"/>
        <w:ind w:right="283"/>
        <w:rPr>
          <w:rFonts w:ascii="Times New Roman" w:eastAsia="Times New Roman" w:hAnsi="Times New Roman" w:cs="Times New Roman"/>
          <w:snapToGrid w:val="0"/>
          <w:sz w:val="24"/>
          <w:szCs w:val="24"/>
          <w:lang w:eastAsia="ru-RU"/>
        </w:rPr>
      </w:pPr>
      <w:r w:rsidRPr="00A61D80">
        <w:rPr>
          <w:rFonts w:ascii="Times New Roman" w:eastAsia="Times New Roman" w:hAnsi="Times New Roman" w:cs="Times New Roman"/>
          <w:snapToGrid w:val="0"/>
          <w:sz w:val="24"/>
          <w:szCs w:val="24"/>
          <w:lang w:eastAsia="ru-RU"/>
        </w:rPr>
        <w:t xml:space="preserve">часто: </w:t>
      </w:r>
      <w:r w:rsidRPr="00A61D80">
        <w:rPr>
          <w:rFonts w:ascii="Times New Roman" w:eastAsia="Times New Roman" w:hAnsi="Times New Roman" w:cs="Times New Roman"/>
          <w:snapToGrid w:val="0"/>
          <w:sz w:val="24"/>
          <w:szCs w:val="24"/>
          <w:lang w:eastAsia="ru-RU"/>
        </w:rPr>
        <w:tab/>
      </w:r>
      <w:r w:rsidRPr="00A61D80">
        <w:rPr>
          <w:rFonts w:ascii="Times New Roman" w:eastAsia="Times New Roman" w:hAnsi="Times New Roman" w:cs="Times New Roman"/>
          <w:snapToGrid w:val="0"/>
          <w:sz w:val="24"/>
          <w:szCs w:val="24"/>
          <w:lang w:eastAsia="ru-RU"/>
        </w:rPr>
        <w:tab/>
      </w:r>
      <w:r w:rsidRPr="00A61D80">
        <w:rPr>
          <w:rFonts w:ascii="Times New Roman" w:eastAsia="Times New Roman" w:hAnsi="Times New Roman" w:cs="Times New Roman"/>
          <w:snapToGrid w:val="0"/>
          <w:sz w:val="24"/>
          <w:szCs w:val="24"/>
          <w:lang w:eastAsia="ru-RU"/>
        </w:rPr>
        <w:tab/>
        <w:t xml:space="preserve">повышение массы тела </w:t>
      </w:r>
    </w:p>
    <w:p w14:paraId="294276AA" w14:textId="77777777" w:rsidR="00A61D80" w:rsidRPr="00A61D80" w:rsidRDefault="00A61D80" w:rsidP="00F602A1">
      <w:pPr>
        <w:spacing w:after="0" w:line="240" w:lineRule="auto"/>
        <w:ind w:right="283"/>
        <w:contextualSpacing/>
        <w:jc w:val="both"/>
        <w:rPr>
          <w:rFonts w:ascii="Times New Roman" w:eastAsia="Times New Roman" w:hAnsi="Times New Roman" w:cs="Times New Roman"/>
          <w:snapToGrid w:val="0"/>
          <w:sz w:val="24"/>
          <w:szCs w:val="24"/>
          <w:lang w:eastAsia="ru-RU"/>
        </w:rPr>
      </w:pPr>
      <w:r w:rsidRPr="00A61D80">
        <w:rPr>
          <w:rFonts w:ascii="Times New Roman" w:eastAsia="Times New Roman" w:hAnsi="Times New Roman" w:cs="Times New Roman"/>
          <w:snapToGrid w:val="0"/>
          <w:sz w:val="24"/>
          <w:szCs w:val="24"/>
          <w:lang w:eastAsia="ru-RU"/>
        </w:rPr>
        <w:t xml:space="preserve">нечасто: </w:t>
      </w:r>
      <w:r w:rsidRPr="00A61D80">
        <w:rPr>
          <w:rFonts w:ascii="Times New Roman" w:eastAsia="Times New Roman" w:hAnsi="Times New Roman" w:cs="Times New Roman"/>
          <w:snapToGrid w:val="0"/>
          <w:sz w:val="24"/>
          <w:szCs w:val="24"/>
          <w:lang w:eastAsia="ru-RU"/>
        </w:rPr>
        <w:tab/>
      </w:r>
      <w:r w:rsidRPr="00A61D80">
        <w:rPr>
          <w:rFonts w:ascii="Times New Roman" w:eastAsia="Times New Roman" w:hAnsi="Times New Roman" w:cs="Times New Roman"/>
          <w:snapToGrid w:val="0"/>
          <w:sz w:val="24"/>
          <w:szCs w:val="24"/>
          <w:lang w:eastAsia="ru-RU"/>
        </w:rPr>
        <w:tab/>
        <w:t>снижение массы тела</w:t>
      </w:r>
    </w:p>
    <w:p w14:paraId="75CF16EB" w14:textId="77777777" w:rsidR="00A61D80" w:rsidRPr="00A61D80" w:rsidRDefault="00A61D80" w:rsidP="00F602A1">
      <w:pPr>
        <w:spacing w:after="0" w:line="240" w:lineRule="auto"/>
        <w:ind w:right="283"/>
        <w:contextualSpacing/>
        <w:jc w:val="both"/>
        <w:rPr>
          <w:rFonts w:ascii="Times New Roman" w:eastAsia="Times New Roman" w:hAnsi="Times New Roman" w:cs="Times New Roman"/>
          <w:snapToGrid w:val="0"/>
          <w:sz w:val="20"/>
          <w:szCs w:val="20"/>
          <w:lang w:eastAsia="ru-RU"/>
        </w:rPr>
      </w:pPr>
      <w:r w:rsidRPr="00A61D80">
        <w:rPr>
          <w:rFonts w:ascii="Times New Roman" w:eastAsia="Times New Roman" w:hAnsi="Times New Roman" w:cs="Times New Roman"/>
          <w:snapToGrid w:val="0"/>
          <w:sz w:val="20"/>
          <w:szCs w:val="20"/>
          <w:vertAlign w:val="superscript"/>
          <w:lang w:eastAsia="ru-RU"/>
        </w:rPr>
        <w:t>1</w:t>
      </w:r>
      <w:r w:rsidRPr="00A61D80">
        <w:rPr>
          <w:rFonts w:ascii="Times New Roman" w:eastAsia="Times New Roman" w:hAnsi="Times New Roman" w:cs="Times New Roman"/>
          <w:snapToGrid w:val="0"/>
          <w:sz w:val="20"/>
          <w:szCs w:val="20"/>
          <w:lang w:eastAsia="ru-RU"/>
        </w:rPr>
        <w:t xml:space="preserve"> Побочные реакции наблюдались только у больных с метастазами.</w:t>
      </w:r>
    </w:p>
    <w:p w14:paraId="24AF3A4C" w14:textId="77777777" w:rsidR="00A61D80" w:rsidRPr="00A61D80" w:rsidRDefault="00A61D80" w:rsidP="00F602A1">
      <w:pPr>
        <w:spacing w:after="0" w:line="240" w:lineRule="auto"/>
        <w:ind w:right="283"/>
        <w:contextualSpacing/>
        <w:jc w:val="both"/>
        <w:rPr>
          <w:rFonts w:ascii="Times New Roman" w:eastAsia="Times New Roman" w:hAnsi="Times New Roman" w:cs="Times New Roman"/>
          <w:snapToGrid w:val="0"/>
          <w:sz w:val="24"/>
          <w:szCs w:val="24"/>
          <w:lang w:eastAsia="ru-RU"/>
        </w:rPr>
      </w:pPr>
      <w:r w:rsidRPr="00A61D80">
        <w:rPr>
          <w:rFonts w:ascii="Times New Roman" w:eastAsia="Times New Roman" w:hAnsi="Times New Roman" w:cs="Times New Roman"/>
          <w:snapToGrid w:val="0"/>
          <w:sz w:val="24"/>
          <w:szCs w:val="24"/>
          <w:lang w:eastAsia="ru-RU"/>
        </w:rPr>
        <w:t xml:space="preserve">При </w:t>
      </w:r>
      <w:proofErr w:type="spellStart"/>
      <w:r w:rsidRPr="00A61D80">
        <w:rPr>
          <w:rFonts w:ascii="Times New Roman" w:eastAsia="Times New Roman" w:hAnsi="Times New Roman" w:cs="Times New Roman"/>
          <w:snapToGrid w:val="0"/>
          <w:sz w:val="24"/>
          <w:szCs w:val="24"/>
          <w:lang w:eastAsia="ru-RU"/>
        </w:rPr>
        <w:t>адъювантном</w:t>
      </w:r>
      <w:proofErr w:type="spellEnd"/>
      <w:r w:rsidRPr="00A61D80">
        <w:rPr>
          <w:rFonts w:ascii="Times New Roman" w:eastAsia="Times New Roman" w:hAnsi="Times New Roman" w:cs="Times New Roman"/>
          <w:snapToGrid w:val="0"/>
          <w:sz w:val="24"/>
          <w:szCs w:val="24"/>
          <w:lang w:eastAsia="ru-RU"/>
        </w:rPr>
        <w:t xml:space="preserve"> применении </w:t>
      </w:r>
      <w:proofErr w:type="spellStart"/>
      <w:r w:rsidRPr="00A61D80">
        <w:rPr>
          <w:rFonts w:ascii="Times New Roman" w:eastAsia="Times New Roman" w:hAnsi="Times New Roman" w:cs="Times New Roman"/>
          <w:snapToGrid w:val="0"/>
          <w:sz w:val="24"/>
          <w:szCs w:val="24"/>
          <w:lang w:eastAsia="ru-RU"/>
        </w:rPr>
        <w:t>летрозола</w:t>
      </w:r>
      <w:proofErr w:type="spellEnd"/>
      <w:r w:rsidRPr="00A61D80">
        <w:rPr>
          <w:rFonts w:ascii="Times New Roman" w:eastAsia="Times New Roman" w:hAnsi="Times New Roman" w:cs="Times New Roman"/>
          <w:snapToGrid w:val="0"/>
          <w:sz w:val="24"/>
          <w:szCs w:val="24"/>
          <w:lang w:eastAsia="ru-RU"/>
        </w:rPr>
        <w:t xml:space="preserve"> сообщения о частоте нежелательных реакций значительно различались. Следующие таблицы суммируют значимые различия при применении </w:t>
      </w:r>
      <w:proofErr w:type="spellStart"/>
      <w:r w:rsidRPr="00A61D80">
        <w:rPr>
          <w:rFonts w:ascii="Times New Roman" w:eastAsia="Times New Roman" w:hAnsi="Times New Roman" w:cs="Times New Roman"/>
          <w:snapToGrid w:val="0"/>
          <w:sz w:val="24"/>
          <w:szCs w:val="24"/>
          <w:lang w:eastAsia="ru-RU"/>
        </w:rPr>
        <w:t>летрозола</w:t>
      </w:r>
      <w:proofErr w:type="spellEnd"/>
      <w:r w:rsidRPr="00A61D80">
        <w:rPr>
          <w:rFonts w:ascii="Times New Roman" w:eastAsia="Times New Roman" w:hAnsi="Times New Roman" w:cs="Times New Roman"/>
          <w:snapToGrid w:val="0"/>
          <w:sz w:val="24"/>
          <w:szCs w:val="24"/>
          <w:lang w:eastAsia="ru-RU"/>
        </w:rPr>
        <w:t xml:space="preserve"> и тамоксифена в качестве </w:t>
      </w:r>
      <w:proofErr w:type="spellStart"/>
      <w:r w:rsidRPr="00A61D80">
        <w:rPr>
          <w:rFonts w:ascii="Times New Roman" w:eastAsia="Times New Roman" w:hAnsi="Times New Roman" w:cs="Times New Roman"/>
          <w:snapToGrid w:val="0"/>
          <w:sz w:val="24"/>
          <w:szCs w:val="24"/>
          <w:lang w:eastAsia="ru-RU"/>
        </w:rPr>
        <w:t>монотерапии</w:t>
      </w:r>
      <w:proofErr w:type="spellEnd"/>
      <w:r w:rsidRPr="00A61D80">
        <w:rPr>
          <w:rFonts w:ascii="Times New Roman" w:eastAsia="Times New Roman" w:hAnsi="Times New Roman" w:cs="Times New Roman"/>
          <w:snapToGrid w:val="0"/>
          <w:sz w:val="24"/>
          <w:szCs w:val="24"/>
          <w:lang w:eastAsia="ru-RU"/>
        </w:rPr>
        <w:t xml:space="preserve"> и последовательной терапии.</w:t>
      </w:r>
    </w:p>
    <w:p w14:paraId="715C3213" w14:textId="77777777" w:rsidR="00A61D80" w:rsidRPr="00A61D80" w:rsidRDefault="00A61D80" w:rsidP="00F602A1">
      <w:pPr>
        <w:tabs>
          <w:tab w:val="left" w:pos="360"/>
        </w:tabs>
        <w:autoSpaceDE w:val="0"/>
        <w:autoSpaceDN w:val="0"/>
        <w:adjustRightInd w:val="0"/>
        <w:spacing w:after="0" w:line="240" w:lineRule="auto"/>
        <w:ind w:right="283"/>
        <w:jc w:val="both"/>
        <w:rPr>
          <w:rFonts w:ascii="Times New Roman" w:eastAsia="Times New Roman" w:hAnsi="Times New Roman" w:cs="Times New Roman"/>
          <w:b/>
          <w:snapToGrid w:val="0"/>
          <w:sz w:val="24"/>
          <w:szCs w:val="24"/>
          <w:lang w:eastAsia="ru-RU"/>
        </w:rPr>
      </w:pPr>
      <w:r w:rsidRPr="00A61D80">
        <w:rPr>
          <w:rFonts w:ascii="Times New Roman" w:eastAsia="Times New Roman" w:hAnsi="Times New Roman" w:cs="Times New Roman"/>
          <w:b/>
          <w:snapToGrid w:val="0"/>
          <w:sz w:val="24"/>
          <w:szCs w:val="24"/>
          <w:lang w:eastAsia="ru-RU"/>
        </w:rPr>
        <w:t xml:space="preserve">Таблица 2. </w:t>
      </w:r>
      <w:proofErr w:type="spellStart"/>
      <w:r w:rsidRPr="00A61D80">
        <w:rPr>
          <w:rFonts w:ascii="Times New Roman" w:eastAsia="Times New Roman" w:hAnsi="Times New Roman" w:cs="Times New Roman"/>
          <w:b/>
          <w:snapToGrid w:val="0"/>
          <w:sz w:val="24"/>
          <w:szCs w:val="24"/>
          <w:lang w:eastAsia="ru-RU"/>
        </w:rPr>
        <w:t>Монотераия</w:t>
      </w:r>
      <w:proofErr w:type="spellEnd"/>
      <w:r w:rsidRPr="00A61D80">
        <w:rPr>
          <w:rFonts w:ascii="Times New Roman" w:eastAsia="Times New Roman" w:hAnsi="Times New Roman" w:cs="Times New Roman"/>
          <w:b/>
          <w:snapToGrid w:val="0"/>
          <w:sz w:val="24"/>
          <w:szCs w:val="24"/>
          <w:lang w:eastAsia="ru-RU"/>
        </w:rPr>
        <w:t xml:space="preserve"> </w:t>
      </w:r>
      <w:proofErr w:type="spellStart"/>
      <w:r w:rsidRPr="00A61D80">
        <w:rPr>
          <w:rFonts w:ascii="Times New Roman" w:eastAsia="Times New Roman" w:hAnsi="Times New Roman" w:cs="Times New Roman"/>
          <w:b/>
          <w:snapToGrid w:val="0"/>
          <w:sz w:val="24"/>
          <w:szCs w:val="24"/>
          <w:lang w:eastAsia="ru-RU"/>
        </w:rPr>
        <w:t>летрозолом</w:t>
      </w:r>
      <w:proofErr w:type="spellEnd"/>
      <w:r w:rsidRPr="00A61D80">
        <w:rPr>
          <w:rFonts w:ascii="Times New Roman" w:eastAsia="Times New Roman" w:hAnsi="Times New Roman" w:cs="Times New Roman"/>
          <w:b/>
          <w:snapToGrid w:val="0"/>
          <w:sz w:val="24"/>
          <w:szCs w:val="24"/>
          <w:lang w:eastAsia="ru-RU"/>
        </w:rPr>
        <w:t xml:space="preserve"> и тамоксифеном - побочные реакции со значимым различием</w:t>
      </w:r>
    </w:p>
    <w:tbl>
      <w:tblPr>
        <w:tblW w:w="9610" w:type="dxa"/>
        <w:tblCellSpacing w:w="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1990"/>
        <w:gridCol w:w="1744"/>
        <w:gridCol w:w="1930"/>
        <w:gridCol w:w="2128"/>
        <w:gridCol w:w="1818"/>
      </w:tblGrid>
      <w:tr w:rsidR="00A61D80" w:rsidRPr="00A61D80" w14:paraId="76CE5B96" w14:textId="77777777" w:rsidTr="00A61D80">
        <w:trPr>
          <w:tblCellSpacing w:w="0" w:type="dxa"/>
        </w:trPr>
        <w:tc>
          <w:tcPr>
            <w:tcW w:w="1029" w:type="pct"/>
            <w:tcBorders>
              <w:top w:val="outset" w:sz="6" w:space="0" w:color="auto"/>
              <w:left w:val="outset" w:sz="6" w:space="0" w:color="auto"/>
              <w:bottom w:val="outset" w:sz="6" w:space="0" w:color="auto"/>
              <w:right w:val="outset" w:sz="6" w:space="0" w:color="auto"/>
            </w:tcBorders>
            <w:hideMark/>
          </w:tcPr>
          <w:p w14:paraId="78F9F324" w14:textId="77777777" w:rsidR="00A61D80" w:rsidRPr="00A61D80" w:rsidRDefault="00A61D80" w:rsidP="00F602A1">
            <w:pPr>
              <w:spacing w:after="0" w:line="240" w:lineRule="auto"/>
              <w:ind w:right="283"/>
              <w:rPr>
                <w:rFonts w:ascii="Times New Roman" w:eastAsia="Times New Roman" w:hAnsi="Times New Roman" w:cs="Times New Roman"/>
                <w:sz w:val="24"/>
                <w:szCs w:val="24"/>
                <w:lang w:val="hu-HU" w:eastAsia="hu-HU"/>
              </w:rPr>
            </w:pPr>
          </w:p>
        </w:tc>
        <w:tc>
          <w:tcPr>
            <w:tcW w:w="2014" w:type="pct"/>
            <w:gridSpan w:val="2"/>
            <w:tcBorders>
              <w:top w:val="outset" w:sz="6" w:space="0" w:color="auto"/>
              <w:left w:val="outset" w:sz="6" w:space="0" w:color="auto"/>
              <w:bottom w:val="outset" w:sz="6" w:space="0" w:color="auto"/>
              <w:right w:val="outset" w:sz="6" w:space="0" w:color="auto"/>
            </w:tcBorders>
            <w:hideMark/>
          </w:tcPr>
          <w:p w14:paraId="27F1B02E" w14:textId="77777777" w:rsidR="00A61D80" w:rsidRPr="00A61D80" w:rsidRDefault="00A61D80" w:rsidP="00F602A1">
            <w:pPr>
              <w:spacing w:before="100" w:beforeAutospacing="1" w:after="100" w:afterAutospacing="1" w:line="240" w:lineRule="auto"/>
              <w:ind w:right="283"/>
              <w:jc w:val="center"/>
              <w:rPr>
                <w:rFonts w:ascii="Times New Roman" w:eastAsia="Times New Roman" w:hAnsi="Times New Roman" w:cs="Times New Roman"/>
                <w:sz w:val="24"/>
                <w:szCs w:val="24"/>
                <w:lang w:val="hu-HU" w:eastAsia="hu-HU"/>
              </w:rPr>
            </w:pPr>
            <w:proofErr w:type="spellStart"/>
            <w:r w:rsidRPr="00A61D80">
              <w:rPr>
                <w:rFonts w:ascii="Times New Roman" w:eastAsia="Times New Roman" w:hAnsi="Times New Roman" w:cs="Times New Roman"/>
                <w:b/>
                <w:bCs/>
                <w:sz w:val="24"/>
                <w:szCs w:val="24"/>
                <w:lang w:eastAsia="hu-HU"/>
              </w:rPr>
              <w:t>Летрозол</w:t>
            </w:r>
            <w:proofErr w:type="spellEnd"/>
            <w:r w:rsidRPr="00A61D80">
              <w:rPr>
                <w:rFonts w:ascii="Times New Roman" w:eastAsia="Times New Roman" w:hAnsi="Times New Roman" w:cs="Times New Roman"/>
                <w:b/>
                <w:bCs/>
                <w:sz w:val="24"/>
                <w:szCs w:val="24"/>
                <w:lang w:eastAsia="hu-HU"/>
              </w:rPr>
              <w:t>, частота</w:t>
            </w:r>
            <w:r w:rsidRPr="00A61D80">
              <w:rPr>
                <w:rFonts w:ascii="Times New Roman" w:eastAsia="Times New Roman" w:hAnsi="Times New Roman" w:cs="Times New Roman"/>
                <w:sz w:val="24"/>
                <w:szCs w:val="24"/>
                <w:lang w:val="hu-HU" w:eastAsia="hu-HU"/>
              </w:rPr>
              <w:t xml:space="preserve"> </w:t>
            </w:r>
          </w:p>
        </w:tc>
        <w:tc>
          <w:tcPr>
            <w:tcW w:w="1958" w:type="pct"/>
            <w:gridSpan w:val="2"/>
            <w:tcBorders>
              <w:top w:val="outset" w:sz="6" w:space="0" w:color="auto"/>
              <w:left w:val="outset" w:sz="6" w:space="0" w:color="auto"/>
              <w:bottom w:val="outset" w:sz="6" w:space="0" w:color="auto"/>
              <w:right w:val="outset" w:sz="6" w:space="0" w:color="auto"/>
            </w:tcBorders>
            <w:hideMark/>
          </w:tcPr>
          <w:p w14:paraId="7E00912D" w14:textId="77777777" w:rsidR="00A61D80" w:rsidRPr="00A61D80" w:rsidRDefault="00A61D80" w:rsidP="00F602A1">
            <w:pPr>
              <w:spacing w:before="100" w:beforeAutospacing="1" w:after="100" w:afterAutospacing="1" w:line="240" w:lineRule="auto"/>
              <w:ind w:right="283"/>
              <w:jc w:val="center"/>
              <w:rPr>
                <w:rFonts w:ascii="Times New Roman" w:eastAsia="Times New Roman" w:hAnsi="Times New Roman" w:cs="Times New Roman"/>
                <w:sz w:val="24"/>
                <w:szCs w:val="24"/>
                <w:lang w:val="hu-HU" w:eastAsia="hu-HU"/>
              </w:rPr>
            </w:pPr>
            <w:r w:rsidRPr="00A61D80">
              <w:rPr>
                <w:rFonts w:ascii="Times New Roman" w:eastAsia="Times New Roman" w:hAnsi="Times New Roman" w:cs="Times New Roman"/>
                <w:b/>
                <w:bCs/>
                <w:sz w:val="24"/>
                <w:szCs w:val="24"/>
                <w:lang w:eastAsia="hu-HU"/>
              </w:rPr>
              <w:t>Тамоксифен, частота</w:t>
            </w:r>
            <w:r w:rsidRPr="00A61D80">
              <w:rPr>
                <w:rFonts w:ascii="Times New Roman" w:eastAsia="Times New Roman" w:hAnsi="Times New Roman" w:cs="Times New Roman"/>
                <w:sz w:val="24"/>
                <w:szCs w:val="24"/>
                <w:lang w:val="hu-HU" w:eastAsia="hu-HU"/>
              </w:rPr>
              <w:t xml:space="preserve"> </w:t>
            </w:r>
          </w:p>
        </w:tc>
      </w:tr>
      <w:tr w:rsidR="00A61D80" w:rsidRPr="00A61D80" w14:paraId="0D4BB084" w14:textId="77777777" w:rsidTr="00A61D80">
        <w:trPr>
          <w:tblCellSpacing w:w="0" w:type="dxa"/>
        </w:trPr>
        <w:tc>
          <w:tcPr>
            <w:tcW w:w="1029" w:type="pct"/>
            <w:tcBorders>
              <w:top w:val="outset" w:sz="6" w:space="0" w:color="auto"/>
              <w:left w:val="outset" w:sz="6" w:space="0" w:color="auto"/>
              <w:bottom w:val="outset" w:sz="6" w:space="0" w:color="auto"/>
              <w:right w:val="outset" w:sz="6" w:space="0" w:color="auto"/>
            </w:tcBorders>
            <w:hideMark/>
          </w:tcPr>
          <w:p w14:paraId="659C8D97" w14:textId="77777777" w:rsidR="00A61D80" w:rsidRPr="00A61D80" w:rsidRDefault="00A61D80" w:rsidP="00F602A1">
            <w:pPr>
              <w:spacing w:after="0" w:line="240" w:lineRule="auto"/>
              <w:ind w:right="283"/>
              <w:rPr>
                <w:rFonts w:ascii="Times New Roman" w:eastAsia="Times New Roman" w:hAnsi="Times New Roman" w:cs="Times New Roman"/>
                <w:sz w:val="24"/>
                <w:szCs w:val="24"/>
                <w:lang w:val="hu-HU" w:eastAsia="hu-HU"/>
              </w:rPr>
            </w:pPr>
          </w:p>
        </w:tc>
        <w:tc>
          <w:tcPr>
            <w:tcW w:w="2014" w:type="pct"/>
            <w:gridSpan w:val="2"/>
            <w:tcBorders>
              <w:top w:val="outset" w:sz="6" w:space="0" w:color="auto"/>
              <w:left w:val="outset" w:sz="6" w:space="0" w:color="auto"/>
              <w:bottom w:val="outset" w:sz="6" w:space="0" w:color="auto"/>
              <w:right w:val="outset" w:sz="6" w:space="0" w:color="auto"/>
            </w:tcBorders>
            <w:hideMark/>
          </w:tcPr>
          <w:p w14:paraId="41F0BCB0" w14:textId="77777777" w:rsidR="00A61D80" w:rsidRPr="00A61D80" w:rsidRDefault="00A61D80" w:rsidP="00F602A1">
            <w:pPr>
              <w:spacing w:before="100" w:beforeAutospacing="1" w:after="100" w:afterAutospacing="1" w:line="240" w:lineRule="auto"/>
              <w:ind w:right="283"/>
              <w:jc w:val="center"/>
              <w:rPr>
                <w:rFonts w:ascii="Times New Roman" w:eastAsia="Times New Roman" w:hAnsi="Times New Roman" w:cs="Times New Roman"/>
                <w:sz w:val="24"/>
                <w:szCs w:val="24"/>
                <w:lang w:val="hu-HU" w:eastAsia="hu-HU"/>
              </w:rPr>
            </w:pPr>
            <w:r w:rsidRPr="00A61D80">
              <w:rPr>
                <w:rFonts w:ascii="Times New Roman" w:eastAsia="Times New Roman" w:hAnsi="Times New Roman" w:cs="Times New Roman"/>
                <w:sz w:val="24"/>
                <w:szCs w:val="24"/>
                <w:lang w:val="hu-HU" w:eastAsia="hu-HU"/>
              </w:rPr>
              <w:t xml:space="preserve">N=2448 </w:t>
            </w:r>
          </w:p>
        </w:tc>
        <w:tc>
          <w:tcPr>
            <w:tcW w:w="1958" w:type="pct"/>
            <w:gridSpan w:val="2"/>
            <w:tcBorders>
              <w:top w:val="outset" w:sz="6" w:space="0" w:color="auto"/>
              <w:left w:val="outset" w:sz="6" w:space="0" w:color="auto"/>
              <w:bottom w:val="outset" w:sz="6" w:space="0" w:color="auto"/>
              <w:right w:val="outset" w:sz="6" w:space="0" w:color="auto"/>
            </w:tcBorders>
            <w:hideMark/>
          </w:tcPr>
          <w:p w14:paraId="4B8375D1" w14:textId="77777777" w:rsidR="00A61D80" w:rsidRPr="00A61D80" w:rsidRDefault="00A61D80" w:rsidP="00F602A1">
            <w:pPr>
              <w:spacing w:before="100" w:beforeAutospacing="1" w:after="100" w:afterAutospacing="1" w:line="240" w:lineRule="auto"/>
              <w:ind w:right="283"/>
              <w:jc w:val="center"/>
              <w:rPr>
                <w:rFonts w:ascii="Times New Roman" w:eastAsia="Times New Roman" w:hAnsi="Times New Roman" w:cs="Times New Roman"/>
                <w:sz w:val="24"/>
                <w:szCs w:val="24"/>
                <w:lang w:val="hu-HU" w:eastAsia="hu-HU"/>
              </w:rPr>
            </w:pPr>
            <w:r w:rsidRPr="00A61D80">
              <w:rPr>
                <w:rFonts w:ascii="Times New Roman" w:eastAsia="Times New Roman" w:hAnsi="Times New Roman" w:cs="Times New Roman"/>
                <w:sz w:val="24"/>
                <w:szCs w:val="24"/>
                <w:lang w:val="hu-HU" w:eastAsia="hu-HU"/>
              </w:rPr>
              <w:t xml:space="preserve">N=2447 </w:t>
            </w:r>
          </w:p>
        </w:tc>
      </w:tr>
      <w:tr w:rsidR="00A61D80" w:rsidRPr="00A61D80" w14:paraId="707A8EFA" w14:textId="77777777" w:rsidTr="00A61D80">
        <w:trPr>
          <w:tblCellSpacing w:w="0" w:type="dxa"/>
        </w:trPr>
        <w:tc>
          <w:tcPr>
            <w:tcW w:w="1029" w:type="pct"/>
            <w:tcBorders>
              <w:top w:val="outset" w:sz="6" w:space="0" w:color="auto"/>
              <w:left w:val="outset" w:sz="6" w:space="0" w:color="auto"/>
              <w:bottom w:val="outset" w:sz="6" w:space="0" w:color="auto"/>
              <w:right w:val="outset" w:sz="6" w:space="0" w:color="auto"/>
            </w:tcBorders>
            <w:hideMark/>
          </w:tcPr>
          <w:p w14:paraId="2BBF6669" w14:textId="77777777" w:rsidR="00A61D80" w:rsidRPr="00A61D80" w:rsidRDefault="00A61D80" w:rsidP="00F602A1">
            <w:pPr>
              <w:spacing w:after="0" w:line="240" w:lineRule="auto"/>
              <w:ind w:right="283"/>
              <w:rPr>
                <w:rFonts w:ascii="Times New Roman" w:eastAsia="Times New Roman" w:hAnsi="Times New Roman" w:cs="Times New Roman"/>
                <w:sz w:val="24"/>
                <w:szCs w:val="24"/>
                <w:lang w:val="hu-HU" w:eastAsia="hu-HU"/>
              </w:rPr>
            </w:pPr>
          </w:p>
        </w:tc>
        <w:tc>
          <w:tcPr>
            <w:tcW w:w="959" w:type="pct"/>
            <w:tcBorders>
              <w:top w:val="outset" w:sz="6" w:space="0" w:color="auto"/>
              <w:left w:val="outset" w:sz="6" w:space="0" w:color="auto"/>
              <w:bottom w:val="outset" w:sz="6" w:space="0" w:color="auto"/>
              <w:right w:val="outset" w:sz="6" w:space="0" w:color="auto"/>
            </w:tcBorders>
            <w:hideMark/>
          </w:tcPr>
          <w:p w14:paraId="68C8954C" w14:textId="77777777" w:rsidR="00A61D80" w:rsidRPr="00A61D80" w:rsidRDefault="00A61D80" w:rsidP="00F602A1">
            <w:pPr>
              <w:spacing w:before="100" w:beforeAutospacing="1" w:after="100" w:afterAutospacing="1" w:line="240" w:lineRule="auto"/>
              <w:ind w:right="283"/>
              <w:jc w:val="center"/>
              <w:rPr>
                <w:rFonts w:ascii="Times New Roman" w:eastAsia="Times New Roman" w:hAnsi="Times New Roman" w:cs="Times New Roman"/>
                <w:sz w:val="24"/>
                <w:szCs w:val="24"/>
                <w:lang w:val="hu-HU" w:eastAsia="hu-HU"/>
              </w:rPr>
            </w:pPr>
            <w:r w:rsidRPr="00A61D80">
              <w:rPr>
                <w:rFonts w:ascii="Times New Roman" w:eastAsia="Times New Roman" w:hAnsi="Times New Roman" w:cs="Times New Roman"/>
                <w:sz w:val="24"/>
                <w:szCs w:val="24"/>
                <w:lang w:eastAsia="hu-HU"/>
              </w:rPr>
              <w:t>Во время лечения</w:t>
            </w:r>
            <w:r w:rsidRPr="00A61D80">
              <w:rPr>
                <w:rFonts w:ascii="Times New Roman" w:eastAsia="Times New Roman" w:hAnsi="Times New Roman" w:cs="Times New Roman"/>
                <w:sz w:val="24"/>
                <w:szCs w:val="24"/>
                <w:lang w:val="hu-HU" w:eastAsia="hu-HU"/>
              </w:rPr>
              <w:t xml:space="preserve"> (</w:t>
            </w:r>
            <w:r w:rsidRPr="00A61D80">
              <w:rPr>
                <w:rFonts w:ascii="Times New Roman" w:eastAsia="Times New Roman" w:hAnsi="Times New Roman" w:cs="Times New Roman"/>
                <w:sz w:val="24"/>
                <w:szCs w:val="24"/>
                <w:lang w:eastAsia="hu-HU"/>
              </w:rPr>
              <w:t>Медиана</w:t>
            </w:r>
            <w:r w:rsidRPr="00A61D80">
              <w:rPr>
                <w:rFonts w:ascii="Times New Roman" w:eastAsia="Times New Roman" w:hAnsi="Times New Roman" w:cs="Times New Roman"/>
                <w:sz w:val="24"/>
                <w:szCs w:val="24"/>
                <w:lang w:val="hu-HU" w:eastAsia="hu-HU"/>
              </w:rPr>
              <w:t xml:space="preserve"> 5</w:t>
            </w:r>
            <w:r w:rsidRPr="00A61D80">
              <w:rPr>
                <w:rFonts w:ascii="Times New Roman" w:eastAsia="Times New Roman" w:hAnsi="Times New Roman" w:cs="Times New Roman"/>
                <w:sz w:val="24"/>
                <w:szCs w:val="24"/>
                <w:lang w:eastAsia="hu-HU"/>
              </w:rPr>
              <w:t xml:space="preserve"> лет</w:t>
            </w:r>
            <w:r w:rsidRPr="00A61D80">
              <w:rPr>
                <w:rFonts w:ascii="Times New Roman" w:eastAsia="Times New Roman" w:hAnsi="Times New Roman" w:cs="Times New Roman"/>
                <w:sz w:val="24"/>
                <w:szCs w:val="24"/>
                <w:lang w:val="hu-HU" w:eastAsia="hu-HU"/>
              </w:rPr>
              <w:t xml:space="preserve">) </w:t>
            </w:r>
          </w:p>
        </w:tc>
        <w:tc>
          <w:tcPr>
            <w:tcW w:w="1055" w:type="pct"/>
            <w:tcBorders>
              <w:top w:val="outset" w:sz="6" w:space="0" w:color="auto"/>
              <w:left w:val="outset" w:sz="6" w:space="0" w:color="auto"/>
              <w:bottom w:val="outset" w:sz="6" w:space="0" w:color="auto"/>
              <w:right w:val="outset" w:sz="6" w:space="0" w:color="auto"/>
            </w:tcBorders>
            <w:hideMark/>
          </w:tcPr>
          <w:p w14:paraId="72146590" w14:textId="77777777" w:rsidR="00A61D80" w:rsidRPr="00A61D80" w:rsidRDefault="00A61D80" w:rsidP="00F602A1">
            <w:pPr>
              <w:spacing w:before="100" w:beforeAutospacing="1" w:after="100" w:afterAutospacing="1" w:line="240" w:lineRule="auto"/>
              <w:ind w:right="283"/>
              <w:jc w:val="center"/>
              <w:rPr>
                <w:rFonts w:ascii="Times New Roman" w:eastAsia="Times New Roman" w:hAnsi="Times New Roman" w:cs="Times New Roman"/>
                <w:sz w:val="24"/>
                <w:szCs w:val="24"/>
                <w:lang w:val="hu-HU" w:eastAsia="hu-HU"/>
              </w:rPr>
            </w:pPr>
            <w:r w:rsidRPr="00A61D80">
              <w:rPr>
                <w:rFonts w:ascii="Times New Roman" w:eastAsia="Times New Roman" w:hAnsi="Times New Roman" w:cs="Times New Roman"/>
                <w:sz w:val="24"/>
                <w:szCs w:val="24"/>
                <w:lang w:eastAsia="hu-HU"/>
              </w:rPr>
              <w:t>В любой момент после рандомизации</w:t>
            </w:r>
            <w:r w:rsidRPr="00A61D80">
              <w:rPr>
                <w:rFonts w:ascii="Times New Roman" w:eastAsia="Times New Roman" w:hAnsi="Times New Roman" w:cs="Times New Roman"/>
                <w:sz w:val="24"/>
                <w:szCs w:val="24"/>
                <w:lang w:val="hu-HU" w:eastAsia="hu-HU"/>
              </w:rPr>
              <w:t xml:space="preserve"> (</w:t>
            </w:r>
            <w:r w:rsidRPr="00A61D80">
              <w:rPr>
                <w:rFonts w:ascii="Times New Roman" w:eastAsia="Times New Roman" w:hAnsi="Times New Roman" w:cs="Times New Roman"/>
                <w:sz w:val="24"/>
                <w:szCs w:val="24"/>
                <w:lang w:eastAsia="hu-HU"/>
              </w:rPr>
              <w:t>Медиана 8 лет</w:t>
            </w:r>
            <w:r w:rsidRPr="00A61D80">
              <w:rPr>
                <w:rFonts w:ascii="Times New Roman" w:eastAsia="Times New Roman" w:hAnsi="Times New Roman" w:cs="Times New Roman"/>
                <w:sz w:val="24"/>
                <w:szCs w:val="24"/>
                <w:lang w:val="hu-HU" w:eastAsia="hu-HU"/>
              </w:rPr>
              <w:t xml:space="preserve">) </w:t>
            </w:r>
          </w:p>
        </w:tc>
        <w:tc>
          <w:tcPr>
            <w:tcW w:w="1158" w:type="pct"/>
            <w:tcBorders>
              <w:top w:val="outset" w:sz="6" w:space="0" w:color="auto"/>
              <w:left w:val="outset" w:sz="6" w:space="0" w:color="auto"/>
              <w:bottom w:val="outset" w:sz="6" w:space="0" w:color="auto"/>
              <w:right w:val="outset" w:sz="6" w:space="0" w:color="auto"/>
            </w:tcBorders>
            <w:hideMark/>
          </w:tcPr>
          <w:p w14:paraId="1389472B" w14:textId="77777777" w:rsidR="00A61D80" w:rsidRPr="00A61D80" w:rsidRDefault="00A61D80" w:rsidP="00F602A1">
            <w:pPr>
              <w:spacing w:before="100" w:beforeAutospacing="1" w:after="100" w:afterAutospacing="1" w:line="240" w:lineRule="auto"/>
              <w:ind w:right="283"/>
              <w:jc w:val="center"/>
              <w:rPr>
                <w:rFonts w:ascii="Times New Roman" w:eastAsia="Times New Roman" w:hAnsi="Times New Roman" w:cs="Times New Roman"/>
                <w:sz w:val="24"/>
                <w:szCs w:val="24"/>
                <w:lang w:val="hu-HU" w:eastAsia="hu-HU"/>
              </w:rPr>
            </w:pPr>
            <w:r w:rsidRPr="00A61D80">
              <w:rPr>
                <w:rFonts w:ascii="Times New Roman" w:eastAsia="Times New Roman" w:hAnsi="Times New Roman" w:cs="Times New Roman"/>
                <w:sz w:val="24"/>
                <w:szCs w:val="24"/>
                <w:lang w:eastAsia="hu-HU"/>
              </w:rPr>
              <w:t>Во время лечения</w:t>
            </w:r>
            <w:r w:rsidRPr="00A61D80">
              <w:rPr>
                <w:rFonts w:ascii="Times New Roman" w:eastAsia="Times New Roman" w:hAnsi="Times New Roman" w:cs="Times New Roman"/>
                <w:sz w:val="24"/>
                <w:szCs w:val="24"/>
                <w:lang w:val="hu-HU" w:eastAsia="hu-HU"/>
              </w:rPr>
              <w:t xml:space="preserve"> (</w:t>
            </w:r>
            <w:r w:rsidRPr="00A61D80">
              <w:rPr>
                <w:rFonts w:ascii="Times New Roman" w:eastAsia="Times New Roman" w:hAnsi="Times New Roman" w:cs="Times New Roman"/>
                <w:sz w:val="24"/>
                <w:szCs w:val="24"/>
                <w:lang w:eastAsia="hu-HU"/>
              </w:rPr>
              <w:t>Медиана</w:t>
            </w:r>
            <w:r w:rsidRPr="00A61D80">
              <w:rPr>
                <w:rFonts w:ascii="Times New Roman" w:eastAsia="Times New Roman" w:hAnsi="Times New Roman" w:cs="Times New Roman"/>
                <w:sz w:val="24"/>
                <w:szCs w:val="24"/>
                <w:lang w:val="hu-HU" w:eastAsia="hu-HU"/>
              </w:rPr>
              <w:t xml:space="preserve"> 5</w:t>
            </w:r>
            <w:r w:rsidRPr="00A61D80">
              <w:rPr>
                <w:rFonts w:ascii="Times New Roman" w:eastAsia="Times New Roman" w:hAnsi="Times New Roman" w:cs="Times New Roman"/>
                <w:sz w:val="24"/>
                <w:szCs w:val="24"/>
                <w:lang w:eastAsia="hu-HU"/>
              </w:rPr>
              <w:t xml:space="preserve"> лет</w:t>
            </w:r>
            <w:r w:rsidRPr="00A61D80">
              <w:rPr>
                <w:rFonts w:ascii="Times New Roman" w:eastAsia="Times New Roman" w:hAnsi="Times New Roman" w:cs="Times New Roman"/>
                <w:sz w:val="24"/>
                <w:szCs w:val="24"/>
                <w:lang w:val="hu-HU" w:eastAsia="hu-HU"/>
              </w:rPr>
              <w:t>)</w:t>
            </w:r>
          </w:p>
        </w:tc>
        <w:tc>
          <w:tcPr>
            <w:tcW w:w="800" w:type="pct"/>
            <w:tcBorders>
              <w:top w:val="outset" w:sz="6" w:space="0" w:color="auto"/>
              <w:left w:val="outset" w:sz="6" w:space="0" w:color="auto"/>
              <w:bottom w:val="outset" w:sz="6" w:space="0" w:color="auto"/>
              <w:right w:val="outset" w:sz="6" w:space="0" w:color="auto"/>
            </w:tcBorders>
            <w:hideMark/>
          </w:tcPr>
          <w:p w14:paraId="147BE7DC" w14:textId="77777777" w:rsidR="00A61D80" w:rsidRPr="00A61D80" w:rsidRDefault="00A61D80" w:rsidP="00F602A1">
            <w:pPr>
              <w:spacing w:before="100" w:beforeAutospacing="1" w:after="100" w:afterAutospacing="1" w:line="240" w:lineRule="auto"/>
              <w:ind w:right="283"/>
              <w:jc w:val="center"/>
              <w:rPr>
                <w:rFonts w:ascii="Times New Roman" w:eastAsia="Times New Roman" w:hAnsi="Times New Roman" w:cs="Times New Roman"/>
                <w:sz w:val="24"/>
                <w:szCs w:val="24"/>
                <w:lang w:val="hu-HU" w:eastAsia="hu-HU"/>
              </w:rPr>
            </w:pPr>
            <w:r w:rsidRPr="00A61D80">
              <w:rPr>
                <w:rFonts w:ascii="Times New Roman" w:eastAsia="Times New Roman" w:hAnsi="Times New Roman" w:cs="Times New Roman"/>
                <w:sz w:val="24"/>
                <w:szCs w:val="24"/>
                <w:lang w:eastAsia="hu-HU"/>
              </w:rPr>
              <w:t>В любой момент после рандомизации</w:t>
            </w:r>
            <w:r w:rsidRPr="00A61D80">
              <w:rPr>
                <w:rFonts w:ascii="Times New Roman" w:eastAsia="Times New Roman" w:hAnsi="Times New Roman" w:cs="Times New Roman"/>
                <w:sz w:val="24"/>
                <w:szCs w:val="24"/>
                <w:lang w:val="hu-HU" w:eastAsia="hu-HU"/>
              </w:rPr>
              <w:t xml:space="preserve"> (</w:t>
            </w:r>
            <w:r w:rsidRPr="00A61D80">
              <w:rPr>
                <w:rFonts w:ascii="Times New Roman" w:eastAsia="Times New Roman" w:hAnsi="Times New Roman" w:cs="Times New Roman"/>
                <w:sz w:val="24"/>
                <w:szCs w:val="24"/>
                <w:lang w:eastAsia="hu-HU"/>
              </w:rPr>
              <w:t>Медиана 8 лет</w:t>
            </w:r>
            <w:r w:rsidRPr="00A61D80">
              <w:rPr>
                <w:rFonts w:ascii="Times New Roman" w:eastAsia="Times New Roman" w:hAnsi="Times New Roman" w:cs="Times New Roman"/>
                <w:sz w:val="24"/>
                <w:szCs w:val="24"/>
                <w:lang w:val="hu-HU" w:eastAsia="hu-HU"/>
              </w:rPr>
              <w:t>)</w:t>
            </w:r>
          </w:p>
        </w:tc>
      </w:tr>
      <w:tr w:rsidR="00A61D80" w:rsidRPr="00A61D80" w14:paraId="1A972049" w14:textId="77777777" w:rsidTr="00A61D80">
        <w:trPr>
          <w:tblCellSpacing w:w="0" w:type="dxa"/>
        </w:trPr>
        <w:tc>
          <w:tcPr>
            <w:tcW w:w="1029" w:type="pct"/>
            <w:tcBorders>
              <w:top w:val="outset" w:sz="6" w:space="0" w:color="auto"/>
              <w:left w:val="outset" w:sz="6" w:space="0" w:color="auto"/>
              <w:bottom w:val="outset" w:sz="6" w:space="0" w:color="auto"/>
              <w:right w:val="outset" w:sz="6" w:space="0" w:color="auto"/>
            </w:tcBorders>
            <w:hideMark/>
          </w:tcPr>
          <w:p w14:paraId="28CC0588" w14:textId="77777777" w:rsidR="00A61D80" w:rsidRPr="00A61D80" w:rsidRDefault="00A61D80" w:rsidP="00F602A1">
            <w:pPr>
              <w:spacing w:before="100" w:beforeAutospacing="1" w:after="100" w:afterAutospacing="1" w:line="240" w:lineRule="auto"/>
              <w:ind w:right="283"/>
              <w:rPr>
                <w:rFonts w:ascii="Times New Roman" w:eastAsia="Times New Roman" w:hAnsi="Times New Roman" w:cs="Times New Roman"/>
                <w:sz w:val="24"/>
                <w:szCs w:val="24"/>
                <w:lang w:eastAsia="hu-HU"/>
              </w:rPr>
            </w:pPr>
            <w:r w:rsidRPr="00A61D80">
              <w:rPr>
                <w:rFonts w:ascii="Times New Roman" w:eastAsia="Times New Roman" w:hAnsi="Times New Roman" w:cs="Times New Roman"/>
                <w:sz w:val="24"/>
                <w:szCs w:val="24"/>
                <w:lang w:eastAsia="hu-HU"/>
              </w:rPr>
              <w:t>Переломы костей</w:t>
            </w:r>
          </w:p>
        </w:tc>
        <w:tc>
          <w:tcPr>
            <w:tcW w:w="959" w:type="pct"/>
            <w:tcBorders>
              <w:top w:val="outset" w:sz="6" w:space="0" w:color="auto"/>
              <w:left w:val="outset" w:sz="6" w:space="0" w:color="auto"/>
              <w:bottom w:val="outset" w:sz="6" w:space="0" w:color="auto"/>
              <w:right w:val="outset" w:sz="6" w:space="0" w:color="auto"/>
            </w:tcBorders>
            <w:hideMark/>
          </w:tcPr>
          <w:p w14:paraId="35FCFDDC" w14:textId="77777777" w:rsidR="00A61D80" w:rsidRPr="00A61D80" w:rsidRDefault="00A61D80" w:rsidP="00F602A1">
            <w:pPr>
              <w:spacing w:before="100" w:beforeAutospacing="1" w:after="100" w:afterAutospacing="1" w:line="240" w:lineRule="auto"/>
              <w:ind w:right="283"/>
              <w:jc w:val="center"/>
              <w:rPr>
                <w:rFonts w:ascii="Times New Roman" w:eastAsia="Times New Roman" w:hAnsi="Times New Roman" w:cs="Times New Roman"/>
                <w:sz w:val="24"/>
                <w:szCs w:val="24"/>
                <w:lang w:val="hu-HU" w:eastAsia="hu-HU"/>
              </w:rPr>
            </w:pPr>
            <w:r w:rsidRPr="00A61D80">
              <w:rPr>
                <w:rFonts w:ascii="Times New Roman" w:eastAsia="Times New Roman" w:hAnsi="Times New Roman" w:cs="Times New Roman"/>
                <w:sz w:val="24"/>
                <w:szCs w:val="24"/>
                <w:lang w:val="hu-HU" w:eastAsia="hu-HU"/>
              </w:rPr>
              <w:t>10.2%</w:t>
            </w:r>
          </w:p>
        </w:tc>
        <w:tc>
          <w:tcPr>
            <w:tcW w:w="1055" w:type="pct"/>
            <w:tcBorders>
              <w:top w:val="outset" w:sz="6" w:space="0" w:color="auto"/>
              <w:left w:val="outset" w:sz="6" w:space="0" w:color="auto"/>
              <w:bottom w:val="outset" w:sz="6" w:space="0" w:color="auto"/>
              <w:right w:val="outset" w:sz="6" w:space="0" w:color="auto"/>
            </w:tcBorders>
            <w:hideMark/>
          </w:tcPr>
          <w:p w14:paraId="45A3B764" w14:textId="77777777" w:rsidR="00A61D80" w:rsidRPr="00A61D80" w:rsidRDefault="00A61D80" w:rsidP="00F602A1">
            <w:pPr>
              <w:spacing w:before="100" w:beforeAutospacing="1" w:after="100" w:afterAutospacing="1" w:line="240" w:lineRule="auto"/>
              <w:ind w:right="283"/>
              <w:jc w:val="center"/>
              <w:rPr>
                <w:rFonts w:ascii="Times New Roman" w:eastAsia="Times New Roman" w:hAnsi="Times New Roman" w:cs="Times New Roman"/>
                <w:sz w:val="24"/>
                <w:szCs w:val="24"/>
                <w:lang w:val="hu-HU" w:eastAsia="hu-HU"/>
              </w:rPr>
            </w:pPr>
            <w:r w:rsidRPr="00A61D80">
              <w:rPr>
                <w:rFonts w:ascii="Times New Roman" w:eastAsia="Times New Roman" w:hAnsi="Times New Roman" w:cs="Times New Roman"/>
                <w:sz w:val="24"/>
                <w:szCs w:val="24"/>
                <w:lang w:val="hu-HU" w:eastAsia="hu-HU"/>
              </w:rPr>
              <w:t>14.7%</w:t>
            </w:r>
          </w:p>
        </w:tc>
        <w:tc>
          <w:tcPr>
            <w:tcW w:w="1158" w:type="pct"/>
            <w:tcBorders>
              <w:top w:val="outset" w:sz="6" w:space="0" w:color="auto"/>
              <w:left w:val="outset" w:sz="6" w:space="0" w:color="auto"/>
              <w:bottom w:val="outset" w:sz="6" w:space="0" w:color="auto"/>
              <w:right w:val="outset" w:sz="6" w:space="0" w:color="auto"/>
            </w:tcBorders>
            <w:hideMark/>
          </w:tcPr>
          <w:p w14:paraId="34BF4255" w14:textId="77777777" w:rsidR="00A61D80" w:rsidRPr="00A61D80" w:rsidRDefault="00A61D80" w:rsidP="00F602A1">
            <w:pPr>
              <w:spacing w:before="100" w:beforeAutospacing="1" w:after="100" w:afterAutospacing="1" w:line="240" w:lineRule="auto"/>
              <w:ind w:right="283"/>
              <w:jc w:val="center"/>
              <w:rPr>
                <w:rFonts w:ascii="Times New Roman" w:eastAsia="Times New Roman" w:hAnsi="Times New Roman" w:cs="Times New Roman"/>
                <w:sz w:val="24"/>
                <w:szCs w:val="24"/>
                <w:lang w:val="hu-HU" w:eastAsia="hu-HU"/>
              </w:rPr>
            </w:pPr>
            <w:r w:rsidRPr="00A61D80">
              <w:rPr>
                <w:rFonts w:ascii="Times New Roman" w:eastAsia="Times New Roman" w:hAnsi="Times New Roman" w:cs="Times New Roman"/>
                <w:sz w:val="24"/>
                <w:szCs w:val="24"/>
                <w:lang w:val="hu-HU" w:eastAsia="hu-HU"/>
              </w:rPr>
              <w:t>7.2%</w:t>
            </w:r>
          </w:p>
        </w:tc>
        <w:tc>
          <w:tcPr>
            <w:tcW w:w="800" w:type="pct"/>
            <w:tcBorders>
              <w:top w:val="outset" w:sz="6" w:space="0" w:color="auto"/>
              <w:left w:val="outset" w:sz="6" w:space="0" w:color="auto"/>
              <w:bottom w:val="outset" w:sz="6" w:space="0" w:color="auto"/>
              <w:right w:val="outset" w:sz="6" w:space="0" w:color="auto"/>
            </w:tcBorders>
            <w:hideMark/>
          </w:tcPr>
          <w:p w14:paraId="286089E7" w14:textId="77777777" w:rsidR="00A61D80" w:rsidRPr="00A61D80" w:rsidRDefault="00A61D80" w:rsidP="00F602A1">
            <w:pPr>
              <w:spacing w:before="100" w:beforeAutospacing="1" w:after="100" w:afterAutospacing="1" w:line="240" w:lineRule="auto"/>
              <w:ind w:right="283"/>
              <w:jc w:val="center"/>
              <w:rPr>
                <w:rFonts w:ascii="Times New Roman" w:eastAsia="Times New Roman" w:hAnsi="Times New Roman" w:cs="Times New Roman"/>
                <w:sz w:val="24"/>
                <w:szCs w:val="24"/>
                <w:lang w:val="hu-HU" w:eastAsia="hu-HU"/>
              </w:rPr>
            </w:pPr>
            <w:r w:rsidRPr="00A61D80">
              <w:rPr>
                <w:rFonts w:ascii="Times New Roman" w:eastAsia="Times New Roman" w:hAnsi="Times New Roman" w:cs="Times New Roman"/>
                <w:sz w:val="24"/>
                <w:szCs w:val="24"/>
                <w:lang w:val="hu-HU" w:eastAsia="hu-HU"/>
              </w:rPr>
              <w:t>11.4%</w:t>
            </w:r>
          </w:p>
        </w:tc>
      </w:tr>
      <w:tr w:rsidR="00A61D80" w:rsidRPr="00A61D80" w14:paraId="1BF25C81" w14:textId="77777777" w:rsidTr="00A61D80">
        <w:trPr>
          <w:tblCellSpacing w:w="0" w:type="dxa"/>
        </w:trPr>
        <w:tc>
          <w:tcPr>
            <w:tcW w:w="1029" w:type="pct"/>
            <w:tcBorders>
              <w:top w:val="outset" w:sz="6" w:space="0" w:color="auto"/>
              <w:left w:val="outset" w:sz="6" w:space="0" w:color="auto"/>
              <w:bottom w:val="outset" w:sz="6" w:space="0" w:color="auto"/>
              <w:right w:val="outset" w:sz="6" w:space="0" w:color="auto"/>
            </w:tcBorders>
            <w:hideMark/>
          </w:tcPr>
          <w:p w14:paraId="32BE614B" w14:textId="77777777" w:rsidR="00A61D80" w:rsidRPr="00A61D80" w:rsidRDefault="00A61D80" w:rsidP="00F602A1">
            <w:pPr>
              <w:spacing w:before="100" w:beforeAutospacing="1" w:after="100" w:afterAutospacing="1" w:line="240" w:lineRule="auto"/>
              <w:ind w:right="283"/>
              <w:rPr>
                <w:rFonts w:ascii="Times New Roman" w:eastAsia="Times New Roman" w:hAnsi="Times New Roman" w:cs="Times New Roman"/>
                <w:sz w:val="24"/>
                <w:szCs w:val="24"/>
                <w:lang w:eastAsia="hu-HU"/>
              </w:rPr>
            </w:pPr>
            <w:r w:rsidRPr="00A61D80">
              <w:rPr>
                <w:rFonts w:ascii="Times New Roman" w:eastAsia="Times New Roman" w:hAnsi="Times New Roman" w:cs="Times New Roman"/>
                <w:sz w:val="24"/>
                <w:szCs w:val="24"/>
                <w:lang w:eastAsia="hu-HU"/>
              </w:rPr>
              <w:t>Остеопороз</w:t>
            </w:r>
          </w:p>
        </w:tc>
        <w:tc>
          <w:tcPr>
            <w:tcW w:w="959" w:type="pct"/>
            <w:tcBorders>
              <w:top w:val="outset" w:sz="6" w:space="0" w:color="auto"/>
              <w:left w:val="outset" w:sz="6" w:space="0" w:color="auto"/>
              <w:bottom w:val="outset" w:sz="6" w:space="0" w:color="auto"/>
              <w:right w:val="outset" w:sz="6" w:space="0" w:color="auto"/>
            </w:tcBorders>
            <w:hideMark/>
          </w:tcPr>
          <w:p w14:paraId="4CA74CBE" w14:textId="77777777" w:rsidR="00A61D80" w:rsidRPr="00A61D80" w:rsidRDefault="00A61D80" w:rsidP="00F602A1">
            <w:pPr>
              <w:spacing w:before="100" w:beforeAutospacing="1" w:after="100" w:afterAutospacing="1" w:line="240" w:lineRule="auto"/>
              <w:ind w:right="283"/>
              <w:jc w:val="center"/>
              <w:rPr>
                <w:rFonts w:ascii="Times New Roman" w:eastAsia="Times New Roman" w:hAnsi="Times New Roman" w:cs="Times New Roman"/>
                <w:sz w:val="24"/>
                <w:szCs w:val="24"/>
                <w:lang w:val="hu-HU" w:eastAsia="hu-HU"/>
              </w:rPr>
            </w:pPr>
            <w:r w:rsidRPr="00A61D80">
              <w:rPr>
                <w:rFonts w:ascii="Times New Roman" w:eastAsia="Times New Roman" w:hAnsi="Times New Roman" w:cs="Times New Roman"/>
                <w:sz w:val="24"/>
                <w:szCs w:val="24"/>
                <w:lang w:val="hu-HU" w:eastAsia="hu-HU"/>
              </w:rPr>
              <w:t>5.1%</w:t>
            </w:r>
          </w:p>
        </w:tc>
        <w:tc>
          <w:tcPr>
            <w:tcW w:w="1055" w:type="pct"/>
            <w:tcBorders>
              <w:top w:val="outset" w:sz="6" w:space="0" w:color="auto"/>
              <w:left w:val="outset" w:sz="6" w:space="0" w:color="auto"/>
              <w:bottom w:val="outset" w:sz="6" w:space="0" w:color="auto"/>
              <w:right w:val="outset" w:sz="6" w:space="0" w:color="auto"/>
            </w:tcBorders>
            <w:hideMark/>
          </w:tcPr>
          <w:p w14:paraId="4937EE56" w14:textId="77777777" w:rsidR="00A61D80" w:rsidRPr="00A61D80" w:rsidRDefault="00A61D80" w:rsidP="00F602A1">
            <w:pPr>
              <w:spacing w:before="100" w:beforeAutospacing="1" w:after="100" w:afterAutospacing="1" w:line="240" w:lineRule="auto"/>
              <w:ind w:right="283"/>
              <w:jc w:val="center"/>
              <w:rPr>
                <w:rFonts w:ascii="Times New Roman" w:eastAsia="Times New Roman" w:hAnsi="Times New Roman" w:cs="Times New Roman"/>
                <w:sz w:val="24"/>
                <w:szCs w:val="24"/>
                <w:lang w:val="hu-HU" w:eastAsia="hu-HU"/>
              </w:rPr>
            </w:pPr>
            <w:r w:rsidRPr="00A61D80">
              <w:rPr>
                <w:rFonts w:ascii="Times New Roman" w:eastAsia="Times New Roman" w:hAnsi="Times New Roman" w:cs="Times New Roman"/>
                <w:sz w:val="24"/>
                <w:szCs w:val="24"/>
                <w:lang w:val="hu-HU" w:eastAsia="hu-HU"/>
              </w:rPr>
              <w:t>5.1%</w:t>
            </w:r>
          </w:p>
        </w:tc>
        <w:tc>
          <w:tcPr>
            <w:tcW w:w="1158" w:type="pct"/>
            <w:tcBorders>
              <w:top w:val="outset" w:sz="6" w:space="0" w:color="auto"/>
              <w:left w:val="outset" w:sz="6" w:space="0" w:color="auto"/>
              <w:bottom w:val="outset" w:sz="6" w:space="0" w:color="auto"/>
              <w:right w:val="outset" w:sz="6" w:space="0" w:color="auto"/>
            </w:tcBorders>
            <w:hideMark/>
          </w:tcPr>
          <w:p w14:paraId="01BF46DE" w14:textId="77777777" w:rsidR="00A61D80" w:rsidRPr="00A61D80" w:rsidRDefault="00A61D80" w:rsidP="00F602A1">
            <w:pPr>
              <w:spacing w:before="100" w:beforeAutospacing="1" w:after="100" w:afterAutospacing="1" w:line="240" w:lineRule="auto"/>
              <w:ind w:right="283"/>
              <w:jc w:val="center"/>
              <w:rPr>
                <w:rFonts w:ascii="Times New Roman" w:eastAsia="Times New Roman" w:hAnsi="Times New Roman" w:cs="Times New Roman"/>
                <w:sz w:val="24"/>
                <w:szCs w:val="24"/>
                <w:lang w:val="hu-HU" w:eastAsia="hu-HU"/>
              </w:rPr>
            </w:pPr>
            <w:r w:rsidRPr="00A61D80">
              <w:rPr>
                <w:rFonts w:ascii="Times New Roman" w:eastAsia="Times New Roman" w:hAnsi="Times New Roman" w:cs="Times New Roman"/>
                <w:sz w:val="24"/>
                <w:szCs w:val="24"/>
                <w:lang w:val="hu-HU" w:eastAsia="hu-HU"/>
              </w:rPr>
              <w:t>2.7%</w:t>
            </w:r>
          </w:p>
        </w:tc>
        <w:tc>
          <w:tcPr>
            <w:tcW w:w="800" w:type="pct"/>
            <w:tcBorders>
              <w:top w:val="outset" w:sz="6" w:space="0" w:color="auto"/>
              <w:left w:val="outset" w:sz="6" w:space="0" w:color="auto"/>
              <w:bottom w:val="outset" w:sz="6" w:space="0" w:color="auto"/>
              <w:right w:val="outset" w:sz="6" w:space="0" w:color="auto"/>
            </w:tcBorders>
            <w:hideMark/>
          </w:tcPr>
          <w:p w14:paraId="220E5C29" w14:textId="77777777" w:rsidR="00A61D80" w:rsidRPr="00A61D80" w:rsidRDefault="00A61D80" w:rsidP="00F602A1">
            <w:pPr>
              <w:spacing w:before="100" w:beforeAutospacing="1" w:after="100" w:afterAutospacing="1" w:line="240" w:lineRule="auto"/>
              <w:ind w:right="283"/>
              <w:jc w:val="center"/>
              <w:rPr>
                <w:rFonts w:ascii="Times New Roman" w:eastAsia="Times New Roman" w:hAnsi="Times New Roman" w:cs="Times New Roman"/>
                <w:sz w:val="24"/>
                <w:szCs w:val="24"/>
                <w:lang w:val="hu-HU" w:eastAsia="hu-HU"/>
              </w:rPr>
            </w:pPr>
            <w:r w:rsidRPr="00A61D80">
              <w:rPr>
                <w:rFonts w:ascii="Times New Roman" w:eastAsia="Times New Roman" w:hAnsi="Times New Roman" w:cs="Times New Roman"/>
                <w:sz w:val="24"/>
                <w:szCs w:val="24"/>
                <w:lang w:val="hu-HU" w:eastAsia="hu-HU"/>
              </w:rPr>
              <w:t>2.7%</w:t>
            </w:r>
          </w:p>
        </w:tc>
      </w:tr>
      <w:tr w:rsidR="00A61D80" w:rsidRPr="00A61D80" w14:paraId="1A1FD38A" w14:textId="77777777" w:rsidTr="00A61D80">
        <w:trPr>
          <w:tblCellSpacing w:w="0" w:type="dxa"/>
        </w:trPr>
        <w:tc>
          <w:tcPr>
            <w:tcW w:w="1029" w:type="pct"/>
            <w:tcBorders>
              <w:top w:val="outset" w:sz="6" w:space="0" w:color="auto"/>
              <w:left w:val="outset" w:sz="6" w:space="0" w:color="auto"/>
              <w:bottom w:val="outset" w:sz="6" w:space="0" w:color="auto"/>
              <w:right w:val="outset" w:sz="6" w:space="0" w:color="auto"/>
            </w:tcBorders>
            <w:hideMark/>
          </w:tcPr>
          <w:p w14:paraId="3BD36F8B" w14:textId="77777777" w:rsidR="00A61D80" w:rsidRPr="00A61D80" w:rsidRDefault="00A61D80" w:rsidP="00F602A1">
            <w:pPr>
              <w:spacing w:before="100" w:beforeAutospacing="1" w:after="100" w:afterAutospacing="1" w:line="240" w:lineRule="auto"/>
              <w:ind w:right="283"/>
              <w:rPr>
                <w:rFonts w:ascii="Times New Roman" w:eastAsia="Times New Roman" w:hAnsi="Times New Roman" w:cs="Times New Roman"/>
                <w:sz w:val="24"/>
                <w:szCs w:val="24"/>
                <w:lang w:eastAsia="hu-HU"/>
              </w:rPr>
            </w:pPr>
            <w:r w:rsidRPr="00A61D80">
              <w:rPr>
                <w:rFonts w:ascii="Times New Roman" w:eastAsia="Times New Roman" w:hAnsi="Times New Roman" w:cs="Times New Roman"/>
                <w:sz w:val="24"/>
                <w:szCs w:val="24"/>
                <w:lang w:eastAsia="hu-HU"/>
              </w:rPr>
              <w:t>Тромбоэмболия</w:t>
            </w:r>
          </w:p>
        </w:tc>
        <w:tc>
          <w:tcPr>
            <w:tcW w:w="959" w:type="pct"/>
            <w:tcBorders>
              <w:top w:val="outset" w:sz="6" w:space="0" w:color="auto"/>
              <w:left w:val="outset" w:sz="6" w:space="0" w:color="auto"/>
              <w:bottom w:val="outset" w:sz="6" w:space="0" w:color="auto"/>
              <w:right w:val="outset" w:sz="6" w:space="0" w:color="auto"/>
            </w:tcBorders>
            <w:hideMark/>
          </w:tcPr>
          <w:p w14:paraId="396B078E" w14:textId="77777777" w:rsidR="00A61D80" w:rsidRPr="00A61D80" w:rsidRDefault="00A61D80" w:rsidP="00F602A1">
            <w:pPr>
              <w:spacing w:before="100" w:beforeAutospacing="1" w:after="100" w:afterAutospacing="1" w:line="240" w:lineRule="auto"/>
              <w:ind w:right="283"/>
              <w:jc w:val="center"/>
              <w:rPr>
                <w:rFonts w:ascii="Times New Roman" w:eastAsia="Times New Roman" w:hAnsi="Times New Roman" w:cs="Times New Roman"/>
                <w:sz w:val="24"/>
                <w:szCs w:val="24"/>
                <w:lang w:val="hu-HU" w:eastAsia="hu-HU"/>
              </w:rPr>
            </w:pPr>
            <w:r w:rsidRPr="00A61D80">
              <w:rPr>
                <w:rFonts w:ascii="Times New Roman" w:eastAsia="Times New Roman" w:hAnsi="Times New Roman" w:cs="Times New Roman"/>
                <w:sz w:val="24"/>
                <w:szCs w:val="24"/>
                <w:lang w:val="hu-HU" w:eastAsia="hu-HU"/>
              </w:rPr>
              <w:t>2.1%</w:t>
            </w:r>
          </w:p>
        </w:tc>
        <w:tc>
          <w:tcPr>
            <w:tcW w:w="1055" w:type="pct"/>
            <w:tcBorders>
              <w:top w:val="outset" w:sz="6" w:space="0" w:color="auto"/>
              <w:left w:val="outset" w:sz="6" w:space="0" w:color="auto"/>
              <w:bottom w:val="outset" w:sz="6" w:space="0" w:color="auto"/>
              <w:right w:val="outset" w:sz="6" w:space="0" w:color="auto"/>
            </w:tcBorders>
            <w:hideMark/>
          </w:tcPr>
          <w:p w14:paraId="5A0DA72E" w14:textId="77777777" w:rsidR="00A61D80" w:rsidRPr="00A61D80" w:rsidRDefault="00A61D80" w:rsidP="00F602A1">
            <w:pPr>
              <w:spacing w:before="100" w:beforeAutospacing="1" w:after="100" w:afterAutospacing="1" w:line="240" w:lineRule="auto"/>
              <w:ind w:right="283"/>
              <w:jc w:val="center"/>
              <w:rPr>
                <w:rFonts w:ascii="Times New Roman" w:eastAsia="Times New Roman" w:hAnsi="Times New Roman" w:cs="Times New Roman"/>
                <w:sz w:val="24"/>
                <w:szCs w:val="24"/>
                <w:lang w:val="hu-HU" w:eastAsia="hu-HU"/>
              </w:rPr>
            </w:pPr>
            <w:r w:rsidRPr="00A61D80">
              <w:rPr>
                <w:rFonts w:ascii="Times New Roman" w:eastAsia="Times New Roman" w:hAnsi="Times New Roman" w:cs="Times New Roman"/>
                <w:sz w:val="24"/>
                <w:szCs w:val="24"/>
                <w:lang w:val="hu-HU" w:eastAsia="hu-HU"/>
              </w:rPr>
              <w:t>3.2%</w:t>
            </w:r>
          </w:p>
        </w:tc>
        <w:tc>
          <w:tcPr>
            <w:tcW w:w="1158" w:type="pct"/>
            <w:tcBorders>
              <w:top w:val="outset" w:sz="6" w:space="0" w:color="auto"/>
              <w:left w:val="outset" w:sz="6" w:space="0" w:color="auto"/>
              <w:bottom w:val="outset" w:sz="6" w:space="0" w:color="auto"/>
              <w:right w:val="outset" w:sz="6" w:space="0" w:color="auto"/>
            </w:tcBorders>
            <w:hideMark/>
          </w:tcPr>
          <w:p w14:paraId="58D36C52" w14:textId="77777777" w:rsidR="00A61D80" w:rsidRPr="00A61D80" w:rsidRDefault="00A61D80" w:rsidP="00F602A1">
            <w:pPr>
              <w:spacing w:before="100" w:beforeAutospacing="1" w:after="100" w:afterAutospacing="1" w:line="240" w:lineRule="auto"/>
              <w:ind w:right="283"/>
              <w:jc w:val="center"/>
              <w:rPr>
                <w:rFonts w:ascii="Times New Roman" w:eastAsia="Times New Roman" w:hAnsi="Times New Roman" w:cs="Times New Roman"/>
                <w:sz w:val="24"/>
                <w:szCs w:val="24"/>
                <w:lang w:val="hu-HU" w:eastAsia="hu-HU"/>
              </w:rPr>
            </w:pPr>
            <w:r w:rsidRPr="00A61D80">
              <w:rPr>
                <w:rFonts w:ascii="Times New Roman" w:eastAsia="Times New Roman" w:hAnsi="Times New Roman" w:cs="Times New Roman"/>
                <w:sz w:val="24"/>
                <w:szCs w:val="24"/>
                <w:lang w:val="hu-HU" w:eastAsia="hu-HU"/>
              </w:rPr>
              <w:t>3.6%</w:t>
            </w:r>
          </w:p>
        </w:tc>
        <w:tc>
          <w:tcPr>
            <w:tcW w:w="800" w:type="pct"/>
            <w:tcBorders>
              <w:top w:val="outset" w:sz="6" w:space="0" w:color="auto"/>
              <w:left w:val="outset" w:sz="6" w:space="0" w:color="auto"/>
              <w:bottom w:val="outset" w:sz="6" w:space="0" w:color="auto"/>
              <w:right w:val="outset" w:sz="6" w:space="0" w:color="auto"/>
            </w:tcBorders>
            <w:hideMark/>
          </w:tcPr>
          <w:p w14:paraId="41EF731C" w14:textId="77777777" w:rsidR="00A61D80" w:rsidRPr="00A61D80" w:rsidRDefault="00A61D80" w:rsidP="00F602A1">
            <w:pPr>
              <w:spacing w:before="100" w:beforeAutospacing="1" w:after="100" w:afterAutospacing="1" w:line="240" w:lineRule="auto"/>
              <w:ind w:right="283"/>
              <w:jc w:val="center"/>
              <w:rPr>
                <w:rFonts w:ascii="Times New Roman" w:eastAsia="Times New Roman" w:hAnsi="Times New Roman" w:cs="Times New Roman"/>
                <w:sz w:val="24"/>
                <w:szCs w:val="24"/>
                <w:lang w:val="hu-HU" w:eastAsia="hu-HU"/>
              </w:rPr>
            </w:pPr>
            <w:r w:rsidRPr="00A61D80">
              <w:rPr>
                <w:rFonts w:ascii="Times New Roman" w:eastAsia="Times New Roman" w:hAnsi="Times New Roman" w:cs="Times New Roman"/>
                <w:sz w:val="24"/>
                <w:szCs w:val="24"/>
                <w:lang w:val="hu-HU" w:eastAsia="hu-HU"/>
              </w:rPr>
              <w:t>4.6%</w:t>
            </w:r>
          </w:p>
        </w:tc>
      </w:tr>
      <w:tr w:rsidR="00A61D80" w:rsidRPr="00A61D80" w14:paraId="7681549E" w14:textId="77777777" w:rsidTr="00A61D80">
        <w:trPr>
          <w:tblCellSpacing w:w="0" w:type="dxa"/>
        </w:trPr>
        <w:tc>
          <w:tcPr>
            <w:tcW w:w="1029" w:type="pct"/>
            <w:tcBorders>
              <w:top w:val="outset" w:sz="6" w:space="0" w:color="auto"/>
              <w:left w:val="outset" w:sz="6" w:space="0" w:color="auto"/>
              <w:bottom w:val="outset" w:sz="6" w:space="0" w:color="auto"/>
              <w:right w:val="outset" w:sz="6" w:space="0" w:color="auto"/>
            </w:tcBorders>
            <w:hideMark/>
          </w:tcPr>
          <w:p w14:paraId="52030ADB" w14:textId="77777777" w:rsidR="00A61D80" w:rsidRPr="00A61D80" w:rsidRDefault="00A61D80" w:rsidP="00F602A1">
            <w:pPr>
              <w:spacing w:before="100" w:beforeAutospacing="1" w:after="100" w:afterAutospacing="1" w:line="240" w:lineRule="auto"/>
              <w:ind w:right="283"/>
              <w:rPr>
                <w:rFonts w:ascii="Times New Roman" w:eastAsia="Times New Roman" w:hAnsi="Times New Roman" w:cs="Times New Roman"/>
                <w:sz w:val="24"/>
                <w:szCs w:val="24"/>
                <w:lang w:eastAsia="hu-HU"/>
              </w:rPr>
            </w:pPr>
            <w:r w:rsidRPr="00A61D80">
              <w:rPr>
                <w:rFonts w:ascii="Times New Roman" w:eastAsia="Times New Roman" w:hAnsi="Times New Roman" w:cs="Times New Roman"/>
                <w:sz w:val="24"/>
                <w:szCs w:val="24"/>
                <w:lang w:eastAsia="hu-HU"/>
              </w:rPr>
              <w:lastRenderedPageBreak/>
              <w:t>Инфаркт миокарда</w:t>
            </w:r>
          </w:p>
        </w:tc>
        <w:tc>
          <w:tcPr>
            <w:tcW w:w="959" w:type="pct"/>
            <w:tcBorders>
              <w:top w:val="outset" w:sz="6" w:space="0" w:color="auto"/>
              <w:left w:val="outset" w:sz="6" w:space="0" w:color="auto"/>
              <w:bottom w:val="outset" w:sz="6" w:space="0" w:color="auto"/>
              <w:right w:val="outset" w:sz="6" w:space="0" w:color="auto"/>
            </w:tcBorders>
            <w:hideMark/>
          </w:tcPr>
          <w:p w14:paraId="59C45676" w14:textId="77777777" w:rsidR="00A61D80" w:rsidRPr="00A61D80" w:rsidRDefault="00A61D80" w:rsidP="00F602A1">
            <w:pPr>
              <w:spacing w:before="100" w:beforeAutospacing="1" w:after="100" w:afterAutospacing="1" w:line="240" w:lineRule="auto"/>
              <w:ind w:right="283"/>
              <w:jc w:val="center"/>
              <w:rPr>
                <w:rFonts w:ascii="Times New Roman" w:eastAsia="Times New Roman" w:hAnsi="Times New Roman" w:cs="Times New Roman"/>
                <w:sz w:val="24"/>
                <w:szCs w:val="24"/>
                <w:lang w:val="hu-HU" w:eastAsia="hu-HU"/>
              </w:rPr>
            </w:pPr>
            <w:r w:rsidRPr="00A61D80">
              <w:rPr>
                <w:rFonts w:ascii="Times New Roman" w:eastAsia="Times New Roman" w:hAnsi="Times New Roman" w:cs="Times New Roman"/>
                <w:sz w:val="24"/>
                <w:szCs w:val="24"/>
                <w:lang w:val="hu-HU" w:eastAsia="hu-HU"/>
              </w:rPr>
              <w:t>1.0%</w:t>
            </w:r>
          </w:p>
        </w:tc>
        <w:tc>
          <w:tcPr>
            <w:tcW w:w="1055" w:type="pct"/>
            <w:tcBorders>
              <w:top w:val="outset" w:sz="6" w:space="0" w:color="auto"/>
              <w:left w:val="outset" w:sz="6" w:space="0" w:color="auto"/>
              <w:bottom w:val="outset" w:sz="6" w:space="0" w:color="auto"/>
              <w:right w:val="outset" w:sz="6" w:space="0" w:color="auto"/>
            </w:tcBorders>
            <w:hideMark/>
          </w:tcPr>
          <w:p w14:paraId="5C35E414" w14:textId="77777777" w:rsidR="00A61D80" w:rsidRPr="00A61D80" w:rsidRDefault="00A61D80" w:rsidP="00F602A1">
            <w:pPr>
              <w:spacing w:before="100" w:beforeAutospacing="1" w:after="100" w:afterAutospacing="1" w:line="240" w:lineRule="auto"/>
              <w:ind w:right="283"/>
              <w:jc w:val="center"/>
              <w:rPr>
                <w:rFonts w:ascii="Times New Roman" w:eastAsia="Times New Roman" w:hAnsi="Times New Roman" w:cs="Times New Roman"/>
                <w:sz w:val="24"/>
                <w:szCs w:val="24"/>
                <w:lang w:val="hu-HU" w:eastAsia="hu-HU"/>
              </w:rPr>
            </w:pPr>
            <w:r w:rsidRPr="00A61D80">
              <w:rPr>
                <w:rFonts w:ascii="Times New Roman" w:eastAsia="Times New Roman" w:hAnsi="Times New Roman" w:cs="Times New Roman"/>
                <w:sz w:val="24"/>
                <w:szCs w:val="24"/>
                <w:lang w:val="hu-HU" w:eastAsia="hu-HU"/>
              </w:rPr>
              <w:t>1.7%</w:t>
            </w:r>
          </w:p>
        </w:tc>
        <w:tc>
          <w:tcPr>
            <w:tcW w:w="1158" w:type="pct"/>
            <w:tcBorders>
              <w:top w:val="outset" w:sz="6" w:space="0" w:color="auto"/>
              <w:left w:val="outset" w:sz="6" w:space="0" w:color="auto"/>
              <w:bottom w:val="outset" w:sz="6" w:space="0" w:color="auto"/>
              <w:right w:val="outset" w:sz="6" w:space="0" w:color="auto"/>
            </w:tcBorders>
            <w:hideMark/>
          </w:tcPr>
          <w:p w14:paraId="1A7BACBC" w14:textId="77777777" w:rsidR="00A61D80" w:rsidRPr="00A61D80" w:rsidRDefault="00A61D80" w:rsidP="00F602A1">
            <w:pPr>
              <w:spacing w:before="100" w:beforeAutospacing="1" w:after="100" w:afterAutospacing="1" w:line="240" w:lineRule="auto"/>
              <w:ind w:right="283"/>
              <w:jc w:val="center"/>
              <w:rPr>
                <w:rFonts w:ascii="Times New Roman" w:eastAsia="Times New Roman" w:hAnsi="Times New Roman" w:cs="Times New Roman"/>
                <w:sz w:val="24"/>
                <w:szCs w:val="24"/>
                <w:lang w:val="hu-HU" w:eastAsia="hu-HU"/>
              </w:rPr>
            </w:pPr>
            <w:r w:rsidRPr="00A61D80">
              <w:rPr>
                <w:rFonts w:ascii="Times New Roman" w:eastAsia="Times New Roman" w:hAnsi="Times New Roman" w:cs="Times New Roman"/>
                <w:sz w:val="24"/>
                <w:szCs w:val="24"/>
                <w:lang w:val="hu-HU" w:eastAsia="hu-HU"/>
              </w:rPr>
              <w:t>0.5%</w:t>
            </w:r>
          </w:p>
        </w:tc>
        <w:tc>
          <w:tcPr>
            <w:tcW w:w="800" w:type="pct"/>
            <w:tcBorders>
              <w:top w:val="outset" w:sz="6" w:space="0" w:color="auto"/>
              <w:left w:val="outset" w:sz="6" w:space="0" w:color="auto"/>
              <w:bottom w:val="outset" w:sz="6" w:space="0" w:color="auto"/>
              <w:right w:val="outset" w:sz="6" w:space="0" w:color="auto"/>
            </w:tcBorders>
            <w:hideMark/>
          </w:tcPr>
          <w:p w14:paraId="159E5721" w14:textId="77777777" w:rsidR="00A61D80" w:rsidRPr="00A61D80" w:rsidRDefault="00A61D80" w:rsidP="00F602A1">
            <w:pPr>
              <w:spacing w:before="100" w:beforeAutospacing="1" w:after="100" w:afterAutospacing="1" w:line="240" w:lineRule="auto"/>
              <w:ind w:right="283"/>
              <w:jc w:val="center"/>
              <w:rPr>
                <w:rFonts w:ascii="Times New Roman" w:eastAsia="Times New Roman" w:hAnsi="Times New Roman" w:cs="Times New Roman"/>
                <w:sz w:val="24"/>
                <w:szCs w:val="24"/>
                <w:lang w:val="hu-HU" w:eastAsia="hu-HU"/>
              </w:rPr>
            </w:pPr>
            <w:r w:rsidRPr="00A61D80">
              <w:rPr>
                <w:rFonts w:ascii="Times New Roman" w:eastAsia="Times New Roman" w:hAnsi="Times New Roman" w:cs="Times New Roman"/>
                <w:sz w:val="24"/>
                <w:szCs w:val="24"/>
                <w:lang w:val="hu-HU" w:eastAsia="hu-HU"/>
              </w:rPr>
              <w:t>1.1%</w:t>
            </w:r>
          </w:p>
        </w:tc>
      </w:tr>
      <w:tr w:rsidR="00A61D80" w:rsidRPr="00A61D80" w14:paraId="7014C4C8" w14:textId="77777777" w:rsidTr="00A61D80">
        <w:trPr>
          <w:tblCellSpacing w:w="0" w:type="dxa"/>
        </w:trPr>
        <w:tc>
          <w:tcPr>
            <w:tcW w:w="1029" w:type="pct"/>
            <w:tcBorders>
              <w:top w:val="outset" w:sz="6" w:space="0" w:color="auto"/>
              <w:left w:val="outset" w:sz="6" w:space="0" w:color="auto"/>
              <w:bottom w:val="outset" w:sz="6" w:space="0" w:color="auto"/>
              <w:right w:val="outset" w:sz="6" w:space="0" w:color="auto"/>
            </w:tcBorders>
            <w:hideMark/>
          </w:tcPr>
          <w:p w14:paraId="5A98241D" w14:textId="77777777" w:rsidR="00A61D80" w:rsidRPr="00A61D80" w:rsidRDefault="00A61D80" w:rsidP="00F602A1">
            <w:pPr>
              <w:spacing w:before="100" w:beforeAutospacing="1" w:after="100" w:afterAutospacing="1" w:line="240" w:lineRule="auto"/>
              <w:ind w:right="283"/>
              <w:rPr>
                <w:rFonts w:ascii="Times New Roman" w:eastAsia="Times New Roman" w:hAnsi="Times New Roman" w:cs="Times New Roman"/>
                <w:sz w:val="24"/>
                <w:szCs w:val="24"/>
                <w:lang w:eastAsia="hu-HU"/>
              </w:rPr>
            </w:pPr>
            <w:r w:rsidRPr="00A61D80">
              <w:rPr>
                <w:rFonts w:ascii="Times New Roman" w:eastAsia="Times New Roman" w:hAnsi="Times New Roman" w:cs="Times New Roman"/>
                <w:sz w:val="24"/>
                <w:szCs w:val="24"/>
                <w:lang w:eastAsia="hu-HU"/>
              </w:rPr>
              <w:t>Гиперплазия эндометрия / рак эндометрия</w:t>
            </w:r>
          </w:p>
        </w:tc>
        <w:tc>
          <w:tcPr>
            <w:tcW w:w="959" w:type="pct"/>
            <w:tcBorders>
              <w:top w:val="outset" w:sz="6" w:space="0" w:color="auto"/>
              <w:left w:val="outset" w:sz="6" w:space="0" w:color="auto"/>
              <w:bottom w:val="outset" w:sz="6" w:space="0" w:color="auto"/>
              <w:right w:val="outset" w:sz="6" w:space="0" w:color="auto"/>
            </w:tcBorders>
            <w:hideMark/>
          </w:tcPr>
          <w:p w14:paraId="19AE49F9" w14:textId="77777777" w:rsidR="00A61D80" w:rsidRPr="00A61D80" w:rsidRDefault="00A61D80" w:rsidP="00F602A1">
            <w:pPr>
              <w:spacing w:before="100" w:beforeAutospacing="1" w:after="100" w:afterAutospacing="1" w:line="240" w:lineRule="auto"/>
              <w:ind w:right="283"/>
              <w:jc w:val="center"/>
              <w:rPr>
                <w:rFonts w:ascii="Times New Roman" w:eastAsia="Times New Roman" w:hAnsi="Times New Roman" w:cs="Times New Roman"/>
                <w:sz w:val="24"/>
                <w:szCs w:val="24"/>
                <w:lang w:val="hu-HU" w:eastAsia="hu-HU"/>
              </w:rPr>
            </w:pPr>
            <w:r w:rsidRPr="00A61D80">
              <w:rPr>
                <w:rFonts w:ascii="Times New Roman" w:eastAsia="Times New Roman" w:hAnsi="Times New Roman" w:cs="Times New Roman"/>
                <w:sz w:val="24"/>
                <w:szCs w:val="24"/>
                <w:lang w:val="hu-HU" w:eastAsia="hu-HU"/>
              </w:rPr>
              <w:t>0.2%</w:t>
            </w:r>
          </w:p>
        </w:tc>
        <w:tc>
          <w:tcPr>
            <w:tcW w:w="1055" w:type="pct"/>
            <w:tcBorders>
              <w:top w:val="outset" w:sz="6" w:space="0" w:color="auto"/>
              <w:left w:val="outset" w:sz="6" w:space="0" w:color="auto"/>
              <w:bottom w:val="outset" w:sz="6" w:space="0" w:color="auto"/>
              <w:right w:val="outset" w:sz="6" w:space="0" w:color="auto"/>
            </w:tcBorders>
            <w:hideMark/>
          </w:tcPr>
          <w:p w14:paraId="4E589C57" w14:textId="77777777" w:rsidR="00A61D80" w:rsidRPr="00A61D80" w:rsidRDefault="00A61D80" w:rsidP="00F602A1">
            <w:pPr>
              <w:spacing w:before="100" w:beforeAutospacing="1" w:after="100" w:afterAutospacing="1" w:line="240" w:lineRule="auto"/>
              <w:ind w:right="283"/>
              <w:jc w:val="center"/>
              <w:rPr>
                <w:rFonts w:ascii="Times New Roman" w:eastAsia="Times New Roman" w:hAnsi="Times New Roman" w:cs="Times New Roman"/>
                <w:sz w:val="24"/>
                <w:szCs w:val="24"/>
                <w:lang w:val="hu-HU" w:eastAsia="hu-HU"/>
              </w:rPr>
            </w:pPr>
            <w:r w:rsidRPr="00A61D80">
              <w:rPr>
                <w:rFonts w:ascii="Times New Roman" w:eastAsia="Times New Roman" w:hAnsi="Times New Roman" w:cs="Times New Roman"/>
                <w:sz w:val="24"/>
                <w:szCs w:val="24"/>
                <w:lang w:val="hu-HU" w:eastAsia="hu-HU"/>
              </w:rPr>
              <w:t>0.4%</w:t>
            </w:r>
          </w:p>
        </w:tc>
        <w:tc>
          <w:tcPr>
            <w:tcW w:w="1158" w:type="pct"/>
            <w:tcBorders>
              <w:top w:val="outset" w:sz="6" w:space="0" w:color="auto"/>
              <w:left w:val="outset" w:sz="6" w:space="0" w:color="auto"/>
              <w:bottom w:val="outset" w:sz="6" w:space="0" w:color="auto"/>
              <w:right w:val="outset" w:sz="6" w:space="0" w:color="auto"/>
            </w:tcBorders>
            <w:hideMark/>
          </w:tcPr>
          <w:p w14:paraId="38728900" w14:textId="77777777" w:rsidR="00A61D80" w:rsidRPr="00A61D80" w:rsidRDefault="00A61D80" w:rsidP="00F602A1">
            <w:pPr>
              <w:spacing w:before="100" w:beforeAutospacing="1" w:after="100" w:afterAutospacing="1" w:line="240" w:lineRule="auto"/>
              <w:ind w:right="283"/>
              <w:jc w:val="center"/>
              <w:rPr>
                <w:rFonts w:ascii="Times New Roman" w:eastAsia="Times New Roman" w:hAnsi="Times New Roman" w:cs="Times New Roman"/>
                <w:sz w:val="24"/>
                <w:szCs w:val="24"/>
                <w:lang w:val="hu-HU" w:eastAsia="hu-HU"/>
              </w:rPr>
            </w:pPr>
            <w:r w:rsidRPr="00A61D80">
              <w:rPr>
                <w:rFonts w:ascii="Times New Roman" w:eastAsia="Times New Roman" w:hAnsi="Times New Roman" w:cs="Times New Roman"/>
                <w:sz w:val="24"/>
                <w:szCs w:val="24"/>
                <w:lang w:val="hu-HU" w:eastAsia="hu-HU"/>
              </w:rPr>
              <w:t>2.3%</w:t>
            </w:r>
          </w:p>
        </w:tc>
        <w:tc>
          <w:tcPr>
            <w:tcW w:w="800" w:type="pct"/>
            <w:tcBorders>
              <w:top w:val="outset" w:sz="6" w:space="0" w:color="auto"/>
              <w:left w:val="outset" w:sz="6" w:space="0" w:color="auto"/>
              <w:bottom w:val="outset" w:sz="6" w:space="0" w:color="auto"/>
              <w:right w:val="outset" w:sz="6" w:space="0" w:color="auto"/>
            </w:tcBorders>
            <w:hideMark/>
          </w:tcPr>
          <w:p w14:paraId="1CFEA536" w14:textId="77777777" w:rsidR="00A61D80" w:rsidRPr="00A61D80" w:rsidRDefault="00A61D80" w:rsidP="00F602A1">
            <w:pPr>
              <w:spacing w:before="100" w:beforeAutospacing="1" w:after="100" w:afterAutospacing="1" w:line="240" w:lineRule="auto"/>
              <w:ind w:right="283"/>
              <w:jc w:val="center"/>
              <w:rPr>
                <w:rFonts w:ascii="Times New Roman" w:eastAsia="Times New Roman" w:hAnsi="Times New Roman" w:cs="Times New Roman"/>
                <w:sz w:val="24"/>
                <w:szCs w:val="24"/>
                <w:lang w:val="hu-HU" w:eastAsia="hu-HU"/>
              </w:rPr>
            </w:pPr>
            <w:r w:rsidRPr="00A61D80">
              <w:rPr>
                <w:rFonts w:ascii="Times New Roman" w:eastAsia="Times New Roman" w:hAnsi="Times New Roman" w:cs="Times New Roman"/>
                <w:sz w:val="24"/>
                <w:szCs w:val="24"/>
                <w:lang w:val="hu-HU" w:eastAsia="hu-HU"/>
              </w:rPr>
              <w:t>2.9%</w:t>
            </w:r>
          </w:p>
        </w:tc>
      </w:tr>
    </w:tbl>
    <w:p w14:paraId="67CE2763" w14:textId="77777777" w:rsidR="00A61D80" w:rsidRPr="00A61D80" w:rsidRDefault="00A61D80" w:rsidP="00F602A1">
      <w:pPr>
        <w:spacing w:after="0" w:line="240" w:lineRule="auto"/>
        <w:ind w:left="1560" w:right="283" w:hanging="1560"/>
        <w:jc w:val="both"/>
        <w:rPr>
          <w:rFonts w:ascii="Times New Roman" w:eastAsia="Times New Roman" w:hAnsi="Times New Roman" w:cs="Times New Roman"/>
          <w:bCs/>
          <w:snapToGrid w:val="0"/>
          <w:sz w:val="20"/>
          <w:szCs w:val="20"/>
          <w:lang w:eastAsia="ru-RU"/>
        </w:rPr>
      </w:pPr>
      <w:r w:rsidRPr="00A61D80">
        <w:rPr>
          <w:rFonts w:ascii="Times New Roman" w:eastAsia="Times New Roman" w:hAnsi="Times New Roman" w:cs="Times New Roman"/>
          <w:bCs/>
          <w:i/>
          <w:iCs/>
          <w:snapToGrid w:val="0"/>
          <w:sz w:val="20"/>
          <w:szCs w:val="20"/>
          <w:lang w:eastAsia="ru-RU"/>
        </w:rPr>
        <w:t>Примечание</w:t>
      </w:r>
      <w:r w:rsidRPr="00A61D80">
        <w:rPr>
          <w:rFonts w:ascii="Times New Roman" w:eastAsia="Times New Roman" w:hAnsi="Times New Roman" w:cs="Times New Roman"/>
          <w:bCs/>
          <w:snapToGrid w:val="0"/>
          <w:sz w:val="20"/>
          <w:szCs w:val="20"/>
          <w:lang w:eastAsia="ru-RU"/>
        </w:rPr>
        <w:t>: «во время лечения» означает период времени в 30 дней после приема последней дозы; «в любой момент» - в течение периода последующего наблюдения после завершения лечения отмены препарата.</w:t>
      </w:r>
    </w:p>
    <w:p w14:paraId="6AC9EF2F" w14:textId="77777777" w:rsidR="00A61D80" w:rsidRPr="00A61D80" w:rsidRDefault="00A61D80" w:rsidP="00F602A1">
      <w:pPr>
        <w:spacing w:after="0" w:line="240" w:lineRule="auto"/>
        <w:ind w:right="283"/>
        <w:jc w:val="both"/>
        <w:rPr>
          <w:rFonts w:ascii="Times New Roman" w:eastAsia="Times New Roman" w:hAnsi="Times New Roman" w:cs="Times New Roman"/>
          <w:bCs/>
          <w:snapToGrid w:val="0"/>
          <w:sz w:val="24"/>
          <w:szCs w:val="24"/>
          <w:lang w:eastAsia="ru-RU"/>
        </w:rPr>
      </w:pPr>
    </w:p>
    <w:p w14:paraId="5FE9BF54" w14:textId="77777777" w:rsidR="00A61D80" w:rsidRPr="00A61D80" w:rsidRDefault="00A61D80" w:rsidP="00F602A1">
      <w:pPr>
        <w:tabs>
          <w:tab w:val="left" w:pos="360"/>
        </w:tabs>
        <w:autoSpaceDE w:val="0"/>
        <w:autoSpaceDN w:val="0"/>
        <w:adjustRightInd w:val="0"/>
        <w:spacing w:after="0" w:line="240" w:lineRule="auto"/>
        <w:ind w:right="283"/>
        <w:jc w:val="both"/>
        <w:rPr>
          <w:rFonts w:ascii="Times New Roman" w:eastAsia="Times New Roman" w:hAnsi="Times New Roman" w:cs="Times New Roman"/>
          <w:b/>
          <w:snapToGrid w:val="0"/>
          <w:sz w:val="24"/>
          <w:szCs w:val="24"/>
          <w:lang w:eastAsia="ru-RU"/>
        </w:rPr>
      </w:pPr>
      <w:r w:rsidRPr="00A61D80">
        <w:rPr>
          <w:rFonts w:ascii="Times New Roman" w:eastAsia="Times New Roman" w:hAnsi="Times New Roman" w:cs="Times New Roman"/>
          <w:b/>
          <w:snapToGrid w:val="0"/>
          <w:sz w:val="24"/>
          <w:szCs w:val="24"/>
          <w:lang w:eastAsia="ru-RU"/>
        </w:rPr>
        <w:t xml:space="preserve">Таблица 3. Последовательная терапия в сравнении с </w:t>
      </w:r>
      <w:proofErr w:type="spellStart"/>
      <w:r w:rsidRPr="00A61D80">
        <w:rPr>
          <w:rFonts w:ascii="Times New Roman" w:eastAsia="Times New Roman" w:hAnsi="Times New Roman" w:cs="Times New Roman"/>
          <w:b/>
          <w:snapToGrid w:val="0"/>
          <w:sz w:val="24"/>
          <w:szCs w:val="24"/>
          <w:lang w:eastAsia="ru-RU"/>
        </w:rPr>
        <w:t>монотерапией</w:t>
      </w:r>
      <w:proofErr w:type="spellEnd"/>
      <w:r w:rsidRPr="00A61D80">
        <w:rPr>
          <w:rFonts w:ascii="Times New Roman" w:eastAsia="Times New Roman" w:hAnsi="Times New Roman" w:cs="Times New Roman"/>
          <w:b/>
          <w:snapToGrid w:val="0"/>
          <w:sz w:val="24"/>
          <w:szCs w:val="24"/>
          <w:lang w:eastAsia="ru-RU"/>
        </w:rPr>
        <w:t xml:space="preserve"> </w:t>
      </w:r>
      <w:proofErr w:type="spellStart"/>
      <w:r w:rsidRPr="00A61D80">
        <w:rPr>
          <w:rFonts w:ascii="Times New Roman" w:eastAsia="Times New Roman" w:hAnsi="Times New Roman" w:cs="Times New Roman"/>
          <w:b/>
          <w:snapToGrid w:val="0"/>
          <w:sz w:val="24"/>
          <w:szCs w:val="24"/>
          <w:lang w:eastAsia="ru-RU"/>
        </w:rPr>
        <w:t>летрозолом</w:t>
      </w:r>
      <w:proofErr w:type="spellEnd"/>
      <w:r w:rsidRPr="00A61D80">
        <w:rPr>
          <w:rFonts w:ascii="Times New Roman" w:eastAsia="Times New Roman" w:hAnsi="Times New Roman" w:cs="Times New Roman"/>
          <w:b/>
          <w:snapToGrid w:val="0"/>
          <w:sz w:val="24"/>
          <w:szCs w:val="24"/>
          <w:lang w:eastAsia="ru-RU"/>
        </w:rPr>
        <w:t xml:space="preserve"> – </w:t>
      </w:r>
    </w:p>
    <w:p w14:paraId="255DF107" w14:textId="77777777" w:rsidR="00A61D80" w:rsidRPr="00A61D80" w:rsidRDefault="00A61D80" w:rsidP="00F602A1">
      <w:pPr>
        <w:spacing w:after="0" w:line="240" w:lineRule="auto"/>
        <w:ind w:right="283"/>
        <w:jc w:val="both"/>
        <w:rPr>
          <w:rFonts w:ascii="Times New Roman" w:eastAsia="Times New Roman" w:hAnsi="Times New Roman" w:cs="Times New Roman"/>
          <w:b/>
          <w:snapToGrid w:val="0"/>
          <w:sz w:val="24"/>
          <w:szCs w:val="24"/>
          <w:lang w:eastAsia="ru-RU"/>
        </w:rPr>
      </w:pPr>
      <w:r w:rsidRPr="00A61D80">
        <w:rPr>
          <w:rFonts w:ascii="Times New Roman" w:eastAsia="Times New Roman" w:hAnsi="Times New Roman" w:cs="Times New Roman"/>
          <w:b/>
          <w:snapToGrid w:val="0"/>
          <w:sz w:val="24"/>
          <w:szCs w:val="24"/>
          <w:lang w:eastAsia="ru-RU"/>
        </w:rPr>
        <w:t>побочные реакции со значимым различием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3"/>
        <w:gridCol w:w="2204"/>
        <w:gridCol w:w="2055"/>
        <w:gridCol w:w="2079"/>
      </w:tblGrid>
      <w:tr w:rsidR="00A61D80" w:rsidRPr="00A61D80" w14:paraId="4B0440CC" w14:textId="77777777" w:rsidTr="002B682B">
        <w:trPr>
          <w:trHeight w:val="475"/>
        </w:trPr>
        <w:tc>
          <w:tcPr>
            <w:tcW w:w="3359" w:type="dxa"/>
            <w:shd w:val="clear" w:color="auto" w:fill="auto"/>
          </w:tcPr>
          <w:p w14:paraId="1FF46885" w14:textId="77777777" w:rsidR="00A61D80" w:rsidRPr="00A61D80" w:rsidRDefault="00A61D80" w:rsidP="00F602A1">
            <w:pPr>
              <w:spacing w:after="0" w:line="240" w:lineRule="auto"/>
              <w:ind w:right="283"/>
              <w:rPr>
                <w:rFonts w:ascii="Times New Roman" w:eastAsia="Times New Roman" w:hAnsi="Times New Roman" w:cs="Times New Roman"/>
                <w:snapToGrid w:val="0"/>
                <w:sz w:val="24"/>
                <w:szCs w:val="24"/>
                <w:lang w:eastAsia="ru-RU"/>
              </w:rPr>
            </w:pPr>
          </w:p>
        </w:tc>
        <w:tc>
          <w:tcPr>
            <w:tcW w:w="2291" w:type="dxa"/>
            <w:shd w:val="clear" w:color="auto" w:fill="auto"/>
          </w:tcPr>
          <w:p w14:paraId="7E5A7B06" w14:textId="77777777" w:rsidR="00A61D80" w:rsidRPr="00A61D80" w:rsidRDefault="00A61D80" w:rsidP="00F602A1">
            <w:pPr>
              <w:spacing w:after="0" w:line="240" w:lineRule="auto"/>
              <w:ind w:right="283"/>
              <w:rPr>
                <w:rFonts w:ascii="Times New Roman" w:eastAsia="Times New Roman" w:hAnsi="Times New Roman" w:cs="Times New Roman"/>
                <w:snapToGrid w:val="0"/>
                <w:sz w:val="24"/>
                <w:szCs w:val="24"/>
                <w:lang w:eastAsia="ru-RU"/>
              </w:rPr>
            </w:pPr>
            <w:proofErr w:type="spellStart"/>
            <w:r w:rsidRPr="00A61D80">
              <w:rPr>
                <w:rFonts w:ascii="Times New Roman" w:eastAsia="Times New Roman" w:hAnsi="Times New Roman" w:cs="Times New Roman"/>
                <w:snapToGrid w:val="0"/>
                <w:sz w:val="24"/>
                <w:szCs w:val="24"/>
                <w:lang w:eastAsia="ru-RU"/>
              </w:rPr>
              <w:t>Монотерапия</w:t>
            </w:r>
            <w:proofErr w:type="spellEnd"/>
          </w:p>
          <w:p w14:paraId="702E84AC" w14:textId="77777777" w:rsidR="00A61D80" w:rsidRPr="00A61D80" w:rsidRDefault="00A61D80" w:rsidP="00F602A1">
            <w:pPr>
              <w:spacing w:after="0" w:line="240" w:lineRule="auto"/>
              <w:ind w:right="283"/>
              <w:rPr>
                <w:rFonts w:ascii="Times New Roman" w:eastAsia="Times New Roman" w:hAnsi="Times New Roman" w:cs="Times New Roman"/>
                <w:snapToGrid w:val="0"/>
                <w:sz w:val="24"/>
                <w:szCs w:val="24"/>
                <w:lang w:eastAsia="ru-RU"/>
              </w:rPr>
            </w:pPr>
            <w:proofErr w:type="spellStart"/>
            <w:r w:rsidRPr="00A61D80">
              <w:rPr>
                <w:rFonts w:ascii="Times New Roman" w:eastAsia="Times New Roman" w:hAnsi="Times New Roman" w:cs="Times New Roman"/>
                <w:snapToGrid w:val="0"/>
                <w:sz w:val="24"/>
                <w:szCs w:val="24"/>
                <w:lang w:eastAsia="ru-RU"/>
              </w:rPr>
              <w:t>летрозолом</w:t>
            </w:r>
            <w:proofErr w:type="spellEnd"/>
          </w:p>
        </w:tc>
        <w:tc>
          <w:tcPr>
            <w:tcW w:w="2146" w:type="dxa"/>
            <w:shd w:val="clear" w:color="auto" w:fill="auto"/>
          </w:tcPr>
          <w:p w14:paraId="43A49F1D" w14:textId="77777777" w:rsidR="00A61D80" w:rsidRPr="00A61D80" w:rsidRDefault="00A61D80" w:rsidP="00F602A1">
            <w:pPr>
              <w:spacing w:after="0" w:line="240" w:lineRule="auto"/>
              <w:ind w:right="283"/>
              <w:rPr>
                <w:rFonts w:ascii="Times New Roman" w:eastAsia="Times New Roman" w:hAnsi="Times New Roman" w:cs="Times New Roman"/>
                <w:snapToGrid w:val="0"/>
                <w:sz w:val="24"/>
                <w:szCs w:val="24"/>
                <w:lang w:eastAsia="ru-RU"/>
              </w:rPr>
            </w:pPr>
            <w:proofErr w:type="spellStart"/>
            <w:proofErr w:type="gramStart"/>
            <w:r w:rsidRPr="00A61D80">
              <w:rPr>
                <w:rFonts w:ascii="Times New Roman" w:eastAsia="Times New Roman" w:hAnsi="Times New Roman" w:cs="Times New Roman"/>
                <w:snapToGrid w:val="0"/>
                <w:sz w:val="24"/>
                <w:szCs w:val="24"/>
                <w:lang w:eastAsia="ru-RU"/>
              </w:rPr>
              <w:t>Летрозол</w:t>
            </w:r>
            <w:proofErr w:type="spellEnd"/>
            <w:r w:rsidRPr="00A61D80">
              <w:rPr>
                <w:rFonts w:ascii="Times New Roman" w:eastAsia="Times New Roman" w:hAnsi="Times New Roman" w:cs="Times New Roman"/>
                <w:snapToGrid w:val="0"/>
                <w:sz w:val="24"/>
                <w:szCs w:val="24"/>
                <w:lang w:eastAsia="ru-RU"/>
              </w:rPr>
              <w:t xml:space="preserve"> &gt;</w:t>
            </w:r>
            <w:proofErr w:type="gramEnd"/>
          </w:p>
          <w:p w14:paraId="1D78F347" w14:textId="77777777" w:rsidR="00A61D80" w:rsidRPr="00A61D80" w:rsidRDefault="00A61D80" w:rsidP="00F602A1">
            <w:pPr>
              <w:spacing w:after="0" w:line="240" w:lineRule="auto"/>
              <w:ind w:right="283"/>
              <w:rPr>
                <w:rFonts w:ascii="Times New Roman" w:eastAsia="Times New Roman" w:hAnsi="Times New Roman" w:cs="Times New Roman"/>
                <w:snapToGrid w:val="0"/>
                <w:sz w:val="24"/>
                <w:szCs w:val="24"/>
                <w:lang w:eastAsia="ru-RU"/>
              </w:rPr>
            </w:pPr>
            <w:r w:rsidRPr="00A61D80">
              <w:rPr>
                <w:rFonts w:ascii="Times New Roman" w:eastAsia="Times New Roman" w:hAnsi="Times New Roman" w:cs="Times New Roman"/>
                <w:snapToGrid w:val="0"/>
                <w:sz w:val="24"/>
                <w:szCs w:val="24"/>
                <w:lang w:eastAsia="ru-RU"/>
              </w:rPr>
              <w:t>тамоксифен</w:t>
            </w:r>
          </w:p>
        </w:tc>
        <w:tc>
          <w:tcPr>
            <w:tcW w:w="2165" w:type="dxa"/>
            <w:shd w:val="clear" w:color="auto" w:fill="auto"/>
          </w:tcPr>
          <w:p w14:paraId="4419B92B" w14:textId="77777777" w:rsidR="00A61D80" w:rsidRPr="00A61D80" w:rsidRDefault="00A61D80" w:rsidP="00F602A1">
            <w:pPr>
              <w:spacing w:after="0" w:line="240" w:lineRule="auto"/>
              <w:ind w:right="283"/>
              <w:rPr>
                <w:rFonts w:ascii="Times New Roman" w:eastAsia="Times New Roman" w:hAnsi="Times New Roman" w:cs="Times New Roman"/>
                <w:snapToGrid w:val="0"/>
                <w:sz w:val="24"/>
                <w:szCs w:val="24"/>
                <w:lang w:eastAsia="ru-RU"/>
              </w:rPr>
            </w:pPr>
            <w:proofErr w:type="gramStart"/>
            <w:r w:rsidRPr="00A61D80">
              <w:rPr>
                <w:rFonts w:ascii="Times New Roman" w:eastAsia="Times New Roman" w:hAnsi="Times New Roman" w:cs="Times New Roman"/>
                <w:snapToGrid w:val="0"/>
                <w:sz w:val="24"/>
                <w:szCs w:val="24"/>
                <w:lang w:eastAsia="ru-RU"/>
              </w:rPr>
              <w:t>Тамоксифен &gt;</w:t>
            </w:r>
            <w:proofErr w:type="gramEnd"/>
          </w:p>
          <w:p w14:paraId="29E18050" w14:textId="77777777" w:rsidR="00A61D80" w:rsidRPr="00A61D80" w:rsidRDefault="00A61D80" w:rsidP="00F602A1">
            <w:pPr>
              <w:spacing w:after="0" w:line="240" w:lineRule="auto"/>
              <w:ind w:right="283"/>
              <w:rPr>
                <w:rFonts w:ascii="Times New Roman" w:eastAsia="Times New Roman" w:hAnsi="Times New Roman" w:cs="Times New Roman"/>
                <w:snapToGrid w:val="0"/>
                <w:sz w:val="24"/>
                <w:szCs w:val="24"/>
                <w:lang w:eastAsia="ru-RU"/>
              </w:rPr>
            </w:pPr>
            <w:proofErr w:type="spellStart"/>
            <w:r w:rsidRPr="00A61D80">
              <w:rPr>
                <w:rFonts w:ascii="Times New Roman" w:eastAsia="Times New Roman" w:hAnsi="Times New Roman" w:cs="Times New Roman"/>
                <w:snapToGrid w:val="0"/>
                <w:sz w:val="24"/>
                <w:szCs w:val="24"/>
                <w:lang w:eastAsia="ru-RU"/>
              </w:rPr>
              <w:t>летрозол</w:t>
            </w:r>
            <w:proofErr w:type="spellEnd"/>
          </w:p>
        </w:tc>
      </w:tr>
      <w:tr w:rsidR="00A61D80" w:rsidRPr="00A61D80" w14:paraId="26E9C73E" w14:textId="77777777" w:rsidTr="002B682B">
        <w:trPr>
          <w:trHeight w:val="263"/>
        </w:trPr>
        <w:tc>
          <w:tcPr>
            <w:tcW w:w="3359" w:type="dxa"/>
            <w:shd w:val="clear" w:color="auto" w:fill="auto"/>
          </w:tcPr>
          <w:p w14:paraId="7D36B3BD" w14:textId="77777777" w:rsidR="00A61D80" w:rsidRPr="00A61D80" w:rsidRDefault="00A61D80" w:rsidP="00F602A1">
            <w:pPr>
              <w:spacing w:after="0" w:line="240" w:lineRule="auto"/>
              <w:ind w:right="283"/>
              <w:rPr>
                <w:rFonts w:ascii="Times New Roman" w:eastAsia="Times New Roman" w:hAnsi="Times New Roman" w:cs="Times New Roman"/>
                <w:snapToGrid w:val="0"/>
                <w:sz w:val="24"/>
                <w:szCs w:val="24"/>
                <w:lang w:eastAsia="ru-RU"/>
              </w:rPr>
            </w:pPr>
          </w:p>
        </w:tc>
        <w:tc>
          <w:tcPr>
            <w:tcW w:w="2291" w:type="dxa"/>
            <w:shd w:val="clear" w:color="auto" w:fill="auto"/>
          </w:tcPr>
          <w:p w14:paraId="369A4D80" w14:textId="77777777" w:rsidR="00A61D80" w:rsidRPr="00A61D80" w:rsidRDefault="00A61D80" w:rsidP="00F602A1">
            <w:pPr>
              <w:autoSpaceDE w:val="0"/>
              <w:autoSpaceDN w:val="0"/>
              <w:adjustRightInd w:val="0"/>
              <w:spacing w:after="0" w:line="240" w:lineRule="auto"/>
              <w:ind w:right="283"/>
              <w:jc w:val="center"/>
              <w:rPr>
                <w:rFonts w:ascii="Times New Roman" w:eastAsia="Times New Roman" w:hAnsi="Times New Roman" w:cs="Times New Roman"/>
                <w:snapToGrid w:val="0"/>
                <w:sz w:val="24"/>
                <w:szCs w:val="24"/>
                <w:lang w:eastAsia="ru-RU"/>
              </w:rPr>
            </w:pPr>
            <w:r w:rsidRPr="00A61D80">
              <w:rPr>
                <w:rFonts w:ascii="Times New Roman" w:eastAsia="Times New Roman" w:hAnsi="Times New Roman" w:cs="Times New Roman"/>
                <w:snapToGrid w:val="0"/>
                <w:sz w:val="24"/>
                <w:szCs w:val="24"/>
                <w:lang w:eastAsia="ru-RU"/>
              </w:rPr>
              <w:t>N = 1535</w:t>
            </w:r>
          </w:p>
        </w:tc>
        <w:tc>
          <w:tcPr>
            <w:tcW w:w="2146" w:type="dxa"/>
            <w:shd w:val="clear" w:color="auto" w:fill="auto"/>
          </w:tcPr>
          <w:p w14:paraId="589BFA72" w14:textId="77777777" w:rsidR="00A61D80" w:rsidRPr="00A61D80" w:rsidRDefault="00A61D80" w:rsidP="00F602A1">
            <w:pPr>
              <w:autoSpaceDE w:val="0"/>
              <w:autoSpaceDN w:val="0"/>
              <w:adjustRightInd w:val="0"/>
              <w:spacing w:after="0" w:line="240" w:lineRule="auto"/>
              <w:ind w:right="283"/>
              <w:jc w:val="center"/>
              <w:rPr>
                <w:rFonts w:ascii="Times New Roman" w:eastAsia="Times New Roman" w:hAnsi="Times New Roman" w:cs="Times New Roman"/>
                <w:snapToGrid w:val="0"/>
                <w:sz w:val="24"/>
                <w:szCs w:val="24"/>
                <w:lang w:eastAsia="ru-RU"/>
              </w:rPr>
            </w:pPr>
            <w:r w:rsidRPr="00A61D80">
              <w:rPr>
                <w:rFonts w:ascii="Times New Roman" w:eastAsia="Times New Roman" w:hAnsi="Times New Roman" w:cs="Times New Roman"/>
                <w:snapToGrid w:val="0"/>
                <w:sz w:val="24"/>
                <w:szCs w:val="24"/>
                <w:lang w:eastAsia="ru-RU"/>
              </w:rPr>
              <w:t>N = 1527</w:t>
            </w:r>
          </w:p>
        </w:tc>
        <w:tc>
          <w:tcPr>
            <w:tcW w:w="2165" w:type="dxa"/>
            <w:shd w:val="clear" w:color="auto" w:fill="auto"/>
          </w:tcPr>
          <w:p w14:paraId="72E3C42C" w14:textId="77777777" w:rsidR="00A61D80" w:rsidRPr="00A61D80" w:rsidRDefault="00A61D80" w:rsidP="00F602A1">
            <w:pPr>
              <w:autoSpaceDE w:val="0"/>
              <w:autoSpaceDN w:val="0"/>
              <w:adjustRightInd w:val="0"/>
              <w:spacing w:after="0" w:line="240" w:lineRule="auto"/>
              <w:ind w:right="283"/>
              <w:jc w:val="center"/>
              <w:rPr>
                <w:rFonts w:ascii="Times New Roman" w:eastAsia="Times New Roman" w:hAnsi="Times New Roman" w:cs="Times New Roman"/>
                <w:snapToGrid w:val="0"/>
                <w:sz w:val="24"/>
                <w:szCs w:val="24"/>
                <w:lang w:eastAsia="ru-RU"/>
              </w:rPr>
            </w:pPr>
            <w:r w:rsidRPr="00A61D80">
              <w:rPr>
                <w:rFonts w:ascii="Times New Roman" w:eastAsia="Times New Roman" w:hAnsi="Times New Roman" w:cs="Times New Roman"/>
                <w:snapToGrid w:val="0"/>
                <w:sz w:val="24"/>
                <w:szCs w:val="24"/>
                <w:lang w:eastAsia="ru-RU"/>
              </w:rPr>
              <w:t>N = 1541</w:t>
            </w:r>
          </w:p>
        </w:tc>
      </w:tr>
      <w:tr w:rsidR="00A61D80" w:rsidRPr="00A61D80" w14:paraId="6AA4D4FC" w14:textId="77777777" w:rsidTr="002B682B">
        <w:trPr>
          <w:trHeight w:val="198"/>
        </w:trPr>
        <w:tc>
          <w:tcPr>
            <w:tcW w:w="3359" w:type="dxa"/>
            <w:shd w:val="clear" w:color="auto" w:fill="auto"/>
          </w:tcPr>
          <w:p w14:paraId="718D67B8" w14:textId="77777777" w:rsidR="00A61D80" w:rsidRPr="00A61D80" w:rsidRDefault="00A61D80" w:rsidP="00F602A1">
            <w:pPr>
              <w:spacing w:after="0" w:line="240" w:lineRule="auto"/>
              <w:ind w:right="283"/>
              <w:rPr>
                <w:rFonts w:ascii="Times New Roman" w:eastAsia="Times New Roman" w:hAnsi="Times New Roman" w:cs="Times New Roman"/>
                <w:snapToGrid w:val="0"/>
                <w:sz w:val="24"/>
                <w:szCs w:val="24"/>
                <w:lang w:eastAsia="ru-RU"/>
              </w:rPr>
            </w:pPr>
          </w:p>
        </w:tc>
        <w:tc>
          <w:tcPr>
            <w:tcW w:w="2291" w:type="dxa"/>
            <w:shd w:val="clear" w:color="auto" w:fill="auto"/>
          </w:tcPr>
          <w:p w14:paraId="58D0E1A6" w14:textId="77777777" w:rsidR="00A61D80" w:rsidRPr="00A61D80" w:rsidRDefault="00A61D80" w:rsidP="00F602A1">
            <w:pPr>
              <w:autoSpaceDE w:val="0"/>
              <w:autoSpaceDN w:val="0"/>
              <w:adjustRightInd w:val="0"/>
              <w:spacing w:after="0" w:line="240" w:lineRule="auto"/>
              <w:ind w:right="283"/>
              <w:jc w:val="center"/>
              <w:rPr>
                <w:rFonts w:ascii="Times New Roman" w:eastAsia="Times New Roman" w:hAnsi="Times New Roman" w:cs="Times New Roman"/>
                <w:snapToGrid w:val="0"/>
                <w:sz w:val="24"/>
                <w:szCs w:val="24"/>
                <w:lang w:eastAsia="ru-RU"/>
              </w:rPr>
            </w:pPr>
            <w:r w:rsidRPr="00A61D80">
              <w:rPr>
                <w:rFonts w:ascii="Times New Roman" w:eastAsia="Times New Roman" w:hAnsi="Times New Roman" w:cs="Times New Roman"/>
                <w:snapToGrid w:val="0"/>
                <w:sz w:val="24"/>
                <w:szCs w:val="24"/>
                <w:lang w:eastAsia="ru-RU"/>
              </w:rPr>
              <w:t>5 лет</w:t>
            </w:r>
          </w:p>
        </w:tc>
        <w:tc>
          <w:tcPr>
            <w:tcW w:w="2146" w:type="dxa"/>
            <w:shd w:val="clear" w:color="auto" w:fill="auto"/>
          </w:tcPr>
          <w:p w14:paraId="606D750B" w14:textId="77777777" w:rsidR="00A61D80" w:rsidRPr="00A61D80" w:rsidRDefault="00A61D80" w:rsidP="00F602A1">
            <w:pPr>
              <w:autoSpaceDE w:val="0"/>
              <w:autoSpaceDN w:val="0"/>
              <w:adjustRightInd w:val="0"/>
              <w:spacing w:after="0" w:line="240" w:lineRule="auto"/>
              <w:ind w:right="283"/>
              <w:jc w:val="center"/>
              <w:rPr>
                <w:rFonts w:ascii="Times New Roman" w:eastAsia="Times New Roman" w:hAnsi="Times New Roman" w:cs="Times New Roman"/>
                <w:snapToGrid w:val="0"/>
                <w:sz w:val="24"/>
                <w:szCs w:val="24"/>
                <w:lang w:eastAsia="ru-RU"/>
              </w:rPr>
            </w:pPr>
            <w:r w:rsidRPr="00A61D80">
              <w:rPr>
                <w:rFonts w:ascii="Times New Roman" w:eastAsia="Times New Roman" w:hAnsi="Times New Roman" w:cs="Times New Roman"/>
                <w:snapToGrid w:val="0"/>
                <w:sz w:val="24"/>
                <w:szCs w:val="24"/>
                <w:lang w:eastAsia="ru-RU"/>
              </w:rPr>
              <w:t xml:space="preserve">2 </w:t>
            </w:r>
            <w:proofErr w:type="gramStart"/>
            <w:r w:rsidRPr="00A61D80">
              <w:rPr>
                <w:rFonts w:ascii="Times New Roman" w:eastAsia="Times New Roman" w:hAnsi="Times New Roman" w:cs="Times New Roman"/>
                <w:snapToGrid w:val="0"/>
                <w:sz w:val="24"/>
                <w:szCs w:val="24"/>
                <w:lang w:eastAsia="ru-RU"/>
              </w:rPr>
              <w:t>года  -</w:t>
            </w:r>
            <w:proofErr w:type="gramEnd"/>
            <w:r w:rsidRPr="00A61D80">
              <w:rPr>
                <w:rFonts w:ascii="Times New Roman" w:eastAsia="Times New Roman" w:hAnsi="Times New Roman" w:cs="Times New Roman"/>
                <w:snapToGrid w:val="0"/>
                <w:sz w:val="24"/>
                <w:szCs w:val="24"/>
                <w:lang w:eastAsia="ru-RU"/>
              </w:rPr>
              <w:t xml:space="preserve"> ˃3 лет</w:t>
            </w:r>
          </w:p>
        </w:tc>
        <w:tc>
          <w:tcPr>
            <w:tcW w:w="2165" w:type="dxa"/>
            <w:shd w:val="clear" w:color="auto" w:fill="auto"/>
          </w:tcPr>
          <w:p w14:paraId="62301BBC" w14:textId="77777777" w:rsidR="00A61D80" w:rsidRPr="00A61D80" w:rsidRDefault="00A61D80" w:rsidP="00F602A1">
            <w:pPr>
              <w:autoSpaceDE w:val="0"/>
              <w:autoSpaceDN w:val="0"/>
              <w:adjustRightInd w:val="0"/>
              <w:spacing w:after="0" w:line="240" w:lineRule="auto"/>
              <w:ind w:right="283"/>
              <w:jc w:val="center"/>
              <w:rPr>
                <w:rFonts w:ascii="Times New Roman" w:eastAsia="Times New Roman" w:hAnsi="Times New Roman" w:cs="Times New Roman"/>
                <w:snapToGrid w:val="0"/>
                <w:sz w:val="24"/>
                <w:szCs w:val="24"/>
                <w:lang w:eastAsia="ru-RU"/>
              </w:rPr>
            </w:pPr>
            <w:r w:rsidRPr="00A61D80">
              <w:rPr>
                <w:rFonts w:ascii="Times New Roman" w:eastAsia="Times New Roman" w:hAnsi="Times New Roman" w:cs="Times New Roman"/>
                <w:snapToGrid w:val="0"/>
                <w:sz w:val="24"/>
                <w:szCs w:val="24"/>
                <w:lang w:eastAsia="ru-RU"/>
              </w:rPr>
              <w:t xml:space="preserve">2 </w:t>
            </w:r>
            <w:proofErr w:type="gramStart"/>
            <w:r w:rsidRPr="00A61D80">
              <w:rPr>
                <w:rFonts w:ascii="Times New Roman" w:eastAsia="Times New Roman" w:hAnsi="Times New Roman" w:cs="Times New Roman"/>
                <w:snapToGrid w:val="0"/>
                <w:sz w:val="24"/>
                <w:szCs w:val="24"/>
                <w:lang w:eastAsia="ru-RU"/>
              </w:rPr>
              <w:t>года  -</w:t>
            </w:r>
            <w:proofErr w:type="gramEnd"/>
            <w:r w:rsidRPr="00A61D80">
              <w:rPr>
                <w:rFonts w:ascii="Times New Roman" w:eastAsia="Times New Roman" w:hAnsi="Times New Roman" w:cs="Times New Roman"/>
                <w:snapToGrid w:val="0"/>
                <w:sz w:val="24"/>
                <w:szCs w:val="24"/>
                <w:lang w:eastAsia="ru-RU"/>
              </w:rPr>
              <w:t xml:space="preserve"> ˃3 лет</w:t>
            </w:r>
          </w:p>
        </w:tc>
      </w:tr>
      <w:tr w:rsidR="00A61D80" w:rsidRPr="00A61D80" w14:paraId="547874AB" w14:textId="77777777" w:rsidTr="002B682B">
        <w:trPr>
          <w:trHeight w:val="199"/>
        </w:trPr>
        <w:tc>
          <w:tcPr>
            <w:tcW w:w="3359" w:type="dxa"/>
            <w:shd w:val="clear" w:color="auto" w:fill="auto"/>
          </w:tcPr>
          <w:p w14:paraId="508BB1A5" w14:textId="77777777" w:rsidR="00A61D80" w:rsidRPr="00A61D80" w:rsidRDefault="00A61D80" w:rsidP="00F602A1">
            <w:pPr>
              <w:spacing w:after="0" w:line="240" w:lineRule="auto"/>
              <w:ind w:right="283"/>
              <w:rPr>
                <w:rFonts w:ascii="Times New Roman" w:eastAsia="Times New Roman" w:hAnsi="Times New Roman" w:cs="Times New Roman"/>
                <w:snapToGrid w:val="0"/>
                <w:sz w:val="24"/>
                <w:szCs w:val="24"/>
                <w:lang w:eastAsia="ru-RU"/>
              </w:rPr>
            </w:pPr>
            <w:r w:rsidRPr="00A61D80">
              <w:rPr>
                <w:rFonts w:ascii="Times New Roman" w:eastAsia="Times New Roman" w:hAnsi="Times New Roman" w:cs="Times New Roman"/>
                <w:snapToGrid w:val="0"/>
                <w:sz w:val="24"/>
                <w:szCs w:val="24"/>
                <w:lang w:eastAsia="ru-RU"/>
              </w:rPr>
              <w:t>Переломы костей</w:t>
            </w:r>
          </w:p>
        </w:tc>
        <w:tc>
          <w:tcPr>
            <w:tcW w:w="2291" w:type="dxa"/>
            <w:shd w:val="clear" w:color="auto" w:fill="auto"/>
          </w:tcPr>
          <w:p w14:paraId="1A2AE893" w14:textId="77777777" w:rsidR="00A61D80" w:rsidRPr="00A61D80" w:rsidRDefault="00A61D80" w:rsidP="00F602A1">
            <w:pPr>
              <w:spacing w:after="0" w:line="240" w:lineRule="auto"/>
              <w:ind w:right="283"/>
              <w:rPr>
                <w:rFonts w:ascii="Times New Roman" w:eastAsia="Times New Roman" w:hAnsi="Times New Roman" w:cs="Times New Roman"/>
                <w:snapToGrid w:val="0"/>
                <w:sz w:val="24"/>
                <w:szCs w:val="24"/>
                <w:lang w:eastAsia="ru-RU"/>
              </w:rPr>
            </w:pPr>
            <w:r w:rsidRPr="00A61D80">
              <w:rPr>
                <w:rFonts w:ascii="Times New Roman" w:eastAsia="Times New Roman" w:hAnsi="Times New Roman" w:cs="Times New Roman"/>
                <w:snapToGrid w:val="0"/>
                <w:sz w:val="24"/>
                <w:szCs w:val="24"/>
                <w:lang w:eastAsia="ru-RU"/>
              </w:rPr>
              <w:t>10 %</w:t>
            </w:r>
          </w:p>
        </w:tc>
        <w:tc>
          <w:tcPr>
            <w:tcW w:w="2146" w:type="dxa"/>
            <w:shd w:val="clear" w:color="auto" w:fill="auto"/>
          </w:tcPr>
          <w:p w14:paraId="7B291CE0" w14:textId="77777777" w:rsidR="00A61D80" w:rsidRPr="00A61D80" w:rsidRDefault="00A61D80" w:rsidP="00F602A1">
            <w:pPr>
              <w:spacing w:after="0" w:line="240" w:lineRule="auto"/>
              <w:ind w:right="283"/>
              <w:rPr>
                <w:rFonts w:ascii="Times New Roman" w:eastAsia="Times New Roman" w:hAnsi="Times New Roman" w:cs="Times New Roman"/>
                <w:snapToGrid w:val="0"/>
                <w:sz w:val="24"/>
                <w:szCs w:val="24"/>
                <w:lang w:eastAsia="ru-RU"/>
              </w:rPr>
            </w:pPr>
            <w:r w:rsidRPr="00A61D80">
              <w:rPr>
                <w:rFonts w:ascii="Times New Roman" w:eastAsia="Times New Roman" w:hAnsi="Times New Roman" w:cs="Times New Roman"/>
                <w:snapToGrid w:val="0"/>
                <w:sz w:val="24"/>
                <w:szCs w:val="24"/>
                <w:lang w:eastAsia="ru-RU"/>
              </w:rPr>
              <w:t>7.7 %*</w:t>
            </w:r>
          </w:p>
        </w:tc>
        <w:tc>
          <w:tcPr>
            <w:tcW w:w="2165" w:type="dxa"/>
            <w:shd w:val="clear" w:color="auto" w:fill="auto"/>
          </w:tcPr>
          <w:p w14:paraId="7345B688" w14:textId="77777777" w:rsidR="00A61D80" w:rsidRPr="00A61D80" w:rsidRDefault="00A61D80" w:rsidP="00F602A1">
            <w:pPr>
              <w:spacing w:after="0" w:line="240" w:lineRule="auto"/>
              <w:ind w:right="283"/>
              <w:rPr>
                <w:rFonts w:ascii="Times New Roman" w:eastAsia="Times New Roman" w:hAnsi="Times New Roman" w:cs="Times New Roman"/>
                <w:snapToGrid w:val="0"/>
                <w:sz w:val="24"/>
                <w:szCs w:val="24"/>
                <w:lang w:eastAsia="ru-RU"/>
              </w:rPr>
            </w:pPr>
            <w:r w:rsidRPr="00A61D80">
              <w:rPr>
                <w:rFonts w:ascii="Times New Roman" w:eastAsia="Times New Roman" w:hAnsi="Times New Roman" w:cs="Times New Roman"/>
                <w:snapToGrid w:val="0"/>
                <w:sz w:val="24"/>
                <w:szCs w:val="24"/>
                <w:lang w:eastAsia="ru-RU"/>
              </w:rPr>
              <w:t>9.7 %</w:t>
            </w:r>
          </w:p>
        </w:tc>
      </w:tr>
      <w:tr w:rsidR="00A61D80" w:rsidRPr="00A61D80" w14:paraId="742954B9" w14:textId="77777777" w:rsidTr="002B682B">
        <w:tc>
          <w:tcPr>
            <w:tcW w:w="3359" w:type="dxa"/>
            <w:shd w:val="clear" w:color="auto" w:fill="auto"/>
          </w:tcPr>
          <w:p w14:paraId="2C20A84D" w14:textId="77777777" w:rsidR="00A61D80" w:rsidRPr="00A61D80" w:rsidRDefault="00A61D80" w:rsidP="00F602A1">
            <w:pPr>
              <w:spacing w:after="0" w:line="240" w:lineRule="auto"/>
              <w:ind w:right="283"/>
              <w:rPr>
                <w:rFonts w:ascii="Times New Roman" w:eastAsia="Times New Roman" w:hAnsi="Times New Roman" w:cs="Times New Roman"/>
                <w:snapToGrid w:val="0"/>
                <w:sz w:val="24"/>
                <w:szCs w:val="24"/>
                <w:lang w:eastAsia="ru-RU"/>
              </w:rPr>
            </w:pPr>
            <w:proofErr w:type="spellStart"/>
            <w:r w:rsidRPr="00A61D80">
              <w:rPr>
                <w:rFonts w:ascii="Times New Roman" w:eastAsia="Times New Roman" w:hAnsi="Times New Roman" w:cs="Times New Roman"/>
                <w:snapToGrid w:val="0"/>
                <w:sz w:val="24"/>
                <w:szCs w:val="24"/>
                <w:lang w:eastAsia="ru-RU"/>
              </w:rPr>
              <w:t>Эндометриальные</w:t>
            </w:r>
            <w:proofErr w:type="spellEnd"/>
          </w:p>
          <w:p w14:paraId="7BE56630" w14:textId="77777777" w:rsidR="00A61D80" w:rsidRPr="00A61D80" w:rsidRDefault="00A61D80" w:rsidP="00F602A1">
            <w:pPr>
              <w:spacing w:after="0" w:line="240" w:lineRule="auto"/>
              <w:ind w:right="283"/>
              <w:rPr>
                <w:rFonts w:ascii="Times New Roman" w:eastAsia="Times New Roman" w:hAnsi="Times New Roman" w:cs="Times New Roman"/>
                <w:snapToGrid w:val="0"/>
                <w:sz w:val="24"/>
                <w:szCs w:val="24"/>
                <w:lang w:eastAsia="ru-RU"/>
              </w:rPr>
            </w:pPr>
            <w:r w:rsidRPr="00A61D80">
              <w:rPr>
                <w:rFonts w:ascii="Times New Roman" w:eastAsia="Times New Roman" w:hAnsi="Times New Roman" w:cs="Times New Roman"/>
                <w:snapToGrid w:val="0"/>
                <w:sz w:val="24"/>
                <w:szCs w:val="24"/>
                <w:lang w:eastAsia="ru-RU"/>
              </w:rPr>
              <w:t>Пролиферативные изменения</w:t>
            </w:r>
          </w:p>
        </w:tc>
        <w:tc>
          <w:tcPr>
            <w:tcW w:w="2291" w:type="dxa"/>
            <w:shd w:val="clear" w:color="auto" w:fill="auto"/>
          </w:tcPr>
          <w:p w14:paraId="2A8E45EF" w14:textId="77777777" w:rsidR="00A61D80" w:rsidRPr="00A61D80" w:rsidRDefault="00A61D80" w:rsidP="00F602A1">
            <w:pPr>
              <w:spacing w:after="0" w:line="240" w:lineRule="auto"/>
              <w:ind w:right="283"/>
              <w:rPr>
                <w:rFonts w:ascii="Times New Roman" w:eastAsia="Times New Roman" w:hAnsi="Times New Roman" w:cs="Times New Roman"/>
                <w:snapToGrid w:val="0"/>
                <w:sz w:val="24"/>
                <w:szCs w:val="24"/>
                <w:lang w:eastAsia="ru-RU"/>
              </w:rPr>
            </w:pPr>
            <w:r w:rsidRPr="00A61D80">
              <w:rPr>
                <w:rFonts w:ascii="Times New Roman" w:eastAsia="Times New Roman" w:hAnsi="Times New Roman" w:cs="Times New Roman"/>
                <w:snapToGrid w:val="0"/>
                <w:sz w:val="24"/>
                <w:szCs w:val="24"/>
                <w:lang w:eastAsia="ru-RU"/>
              </w:rPr>
              <w:t>0.7%</w:t>
            </w:r>
          </w:p>
        </w:tc>
        <w:tc>
          <w:tcPr>
            <w:tcW w:w="2146" w:type="dxa"/>
            <w:shd w:val="clear" w:color="auto" w:fill="auto"/>
          </w:tcPr>
          <w:p w14:paraId="2F1DBD76" w14:textId="77777777" w:rsidR="00A61D80" w:rsidRPr="00A61D80" w:rsidRDefault="00A61D80" w:rsidP="00F602A1">
            <w:pPr>
              <w:spacing w:after="0" w:line="240" w:lineRule="auto"/>
              <w:ind w:right="283"/>
              <w:rPr>
                <w:rFonts w:ascii="Times New Roman" w:eastAsia="Times New Roman" w:hAnsi="Times New Roman" w:cs="Times New Roman"/>
                <w:snapToGrid w:val="0"/>
                <w:sz w:val="24"/>
                <w:szCs w:val="24"/>
                <w:lang w:eastAsia="ru-RU"/>
              </w:rPr>
            </w:pPr>
            <w:r w:rsidRPr="00A61D80">
              <w:rPr>
                <w:rFonts w:ascii="Times New Roman" w:eastAsia="Times New Roman" w:hAnsi="Times New Roman" w:cs="Times New Roman"/>
                <w:snapToGrid w:val="0"/>
                <w:sz w:val="24"/>
                <w:szCs w:val="24"/>
                <w:lang w:eastAsia="ru-RU"/>
              </w:rPr>
              <w:t>3.4%**</w:t>
            </w:r>
          </w:p>
        </w:tc>
        <w:tc>
          <w:tcPr>
            <w:tcW w:w="2165" w:type="dxa"/>
            <w:shd w:val="clear" w:color="auto" w:fill="auto"/>
          </w:tcPr>
          <w:p w14:paraId="22FA3754" w14:textId="77777777" w:rsidR="00A61D80" w:rsidRPr="00A61D80" w:rsidRDefault="00A61D80" w:rsidP="00F602A1">
            <w:pPr>
              <w:spacing w:after="0" w:line="240" w:lineRule="auto"/>
              <w:ind w:right="283"/>
              <w:rPr>
                <w:rFonts w:ascii="Times New Roman" w:eastAsia="Times New Roman" w:hAnsi="Times New Roman" w:cs="Times New Roman"/>
                <w:snapToGrid w:val="0"/>
                <w:sz w:val="24"/>
                <w:szCs w:val="24"/>
                <w:lang w:eastAsia="ru-RU"/>
              </w:rPr>
            </w:pPr>
            <w:r w:rsidRPr="00A61D80">
              <w:rPr>
                <w:rFonts w:ascii="Times New Roman" w:eastAsia="Times New Roman" w:hAnsi="Times New Roman" w:cs="Times New Roman"/>
                <w:snapToGrid w:val="0"/>
                <w:sz w:val="24"/>
                <w:szCs w:val="24"/>
                <w:lang w:eastAsia="ru-RU"/>
              </w:rPr>
              <w:t>1.7%**</w:t>
            </w:r>
          </w:p>
        </w:tc>
      </w:tr>
      <w:tr w:rsidR="00A61D80" w:rsidRPr="00A61D80" w14:paraId="6B08A865" w14:textId="77777777" w:rsidTr="002B682B">
        <w:trPr>
          <w:trHeight w:val="201"/>
        </w:trPr>
        <w:tc>
          <w:tcPr>
            <w:tcW w:w="3359" w:type="dxa"/>
            <w:shd w:val="clear" w:color="auto" w:fill="auto"/>
          </w:tcPr>
          <w:p w14:paraId="70A43AC9" w14:textId="77777777" w:rsidR="00A61D80" w:rsidRPr="00A61D80" w:rsidRDefault="00A61D80" w:rsidP="00F602A1">
            <w:pPr>
              <w:spacing w:after="0" w:line="240" w:lineRule="auto"/>
              <w:ind w:right="283"/>
              <w:rPr>
                <w:rFonts w:ascii="Times New Roman" w:eastAsia="Times New Roman" w:hAnsi="Times New Roman" w:cs="Times New Roman"/>
                <w:snapToGrid w:val="0"/>
                <w:sz w:val="24"/>
                <w:szCs w:val="24"/>
                <w:lang w:eastAsia="ru-RU"/>
              </w:rPr>
            </w:pPr>
            <w:proofErr w:type="spellStart"/>
            <w:r w:rsidRPr="00A61D80">
              <w:rPr>
                <w:rFonts w:ascii="Times New Roman" w:eastAsia="Times New Roman" w:hAnsi="Times New Roman" w:cs="Times New Roman"/>
                <w:snapToGrid w:val="0"/>
                <w:sz w:val="24"/>
                <w:szCs w:val="24"/>
                <w:lang w:eastAsia="ru-RU"/>
              </w:rPr>
              <w:t>Гиперхолестеринемия</w:t>
            </w:r>
            <w:proofErr w:type="spellEnd"/>
            <w:r w:rsidRPr="00A61D80">
              <w:rPr>
                <w:rFonts w:ascii="Times New Roman" w:eastAsia="Times New Roman" w:hAnsi="Times New Roman" w:cs="Times New Roman"/>
                <w:snapToGrid w:val="0"/>
                <w:sz w:val="24"/>
                <w:szCs w:val="24"/>
                <w:lang w:eastAsia="ru-RU"/>
              </w:rPr>
              <w:t xml:space="preserve"> </w:t>
            </w:r>
          </w:p>
        </w:tc>
        <w:tc>
          <w:tcPr>
            <w:tcW w:w="2291" w:type="dxa"/>
            <w:shd w:val="clear" w:color="auto" w:fill="auto"/>
          </w:tcPr>
          <w:p w14:paraId="67701B57" w14:textId="77777777" w:rsidR="00A61D80" w:rsidRPr="00A61D80" w:rsidRDefault="00A61D80" w:rsidP="00F602A1">
            <w:pPr>
              <w:spacing w:after="0" w:line="240" w:lineRule="auto"/>
              <w:ind w:right="283"/>
              <w:rPr>
                <w:rFonts w:ascii="Times New Roman" w:eastAsia="Times New Roman" w:hAnsi="Times New Roman" w:cs="Times New Roman"/>
                <w:snapToGrid w:val="0"/>
                <w:sz w:val="24"/>
                <w:szCs w:val="24"/>
                <w:lang w:eastAsia="ru-RU"/>
              </w:rPr>
            </w:pPr>
            <w:r w:rsidRPr="00A61D80">
              <w:rPr>
                <w:rFonts w:ascii="Times New Roman" w:eastAsia="Times New Roman" w:hAnsi="Times New Roman" w:cs="Times New Roman"/>
                <w:snapToGrid w:val="0"/>
                <w:sz w:val="24"/>
                <w:szCs w:val="24"/>
                <w:lang w:eastAsia="ru-RU"/>
              </w:rPr>
              <w:t>52.5%</w:t>
            </w:r>
          </w:p>
        </w:tc>
        <w:tc>
          <w:tcPr>
            <w:tcW w:w="2146" w:type="dxa"/>
            <w:shd w:val="clear" w:color="auto" w:fill="auto"/>
          </w:tcPr>
          <w:p w14:paraId="52D5CF37" w14:textId="77777777" w:rsidR="00A61D80" w:rsidRPr="00A61D80" w:rsidRDefault="00A61D80" w:rsidP="00F602A1">
            <w:pPr>
              <w:spacing w:after="0" w:line="240" w:lineRule="auto"/>
              <w:ind w:right="283"/>
              <w:rPr>
                <w:rFonts w:ascii="Times New Roman" w:eastAsia="Times New Roman" w:hAnsi="Times New Roman" w:cs="Times New Roman"/>
                <w:snapToGrid w:val="0"/>
                <w:sz w:val="24"/>
                <w:szCs w:val="24"/>
                <w:lang w:eastAsia="ru-RU"/>
              </w:rPr>
            </w:pPr>
            <w:r w:rsidRPr="00A61D80">
              <w:rPr>
                <w:rFonts w:ascii="Times New Roman" w:eastAsia="Times New Roman" w:hAnsi="Times New Roman" w:cs="Times New Roman"/>
                <w:snapToGrid w:val="0"/>
                <w:sz w:val="24"/>
                <w:szCs w:val="24"/>
                <w:lang w:eastAsia="ru-RU"/>
              </w:rPr>
              <w:t>44.2%*</w:t>
            </w:r>
          </w:p>
        </w:tc>
        <w:tc>
          <w:tcPr>
            <w:tcW w:w="2165" w:type="dxa"/>
            <w:shd w:val="clear" w:color="auto" w:fill="auto"/>
          </w:tcPr>
          <w:p w14:paraId="6F7B5F6C" w14:textId="77777777" w:rsidR="00A61D80" w:rsidRPr="00A61D80" w:rsidRDefault="00A61D80" w:rsidP="00F602A1">
            <w:pPr>
              <w:spacing w:after="0" w:line="240" w:lineRule="auto"/>
              <w:ind w:right="283"/>
              <w:rPr>
                <w:rFonts w:ascii="Times New Roman" w:eastAsia="Times New Roman" w:hAnsi="Times New Roman" w:cs="Times New Roman"/>
                <w:snapToGrid w:val="0"/>
                <w:sz w:val="24"/>
                <w:szCs w:val="24"/>
                <w:lang w:eastAsia="ru-RU"/>
              </w:rPr>
            </w:pPr>
            <w:r w:rsidRPr="00A61D80">
              <w:rPr>
                <w:rFonts w:ascii="Times New Roman" w:eastAsia="Times New Roman" w:hAnsi="Times New Roman" w:cs="Times New Roman"/>
                <w:snapToGrid w:val="0"/>
                <w:sz w:val="24"/>
                <w:szCs w:val="24"/>
                <w:lang w:eastAsia="ru-RU"/>
              </w:rPr>
              <w:t>40.8%*</w:t>
            </w:r>
          </w:p>
        </w:tc>
      </w:tr>
      <w:tr w:rsidR="00A61D80" w:rsidRPr="00A61D80" w14:paraId="33F988CD" w14:textId="77777777" w:rsidTr="002B682B">
        <w:tc>
          <w:tcPr>
            <w:tcW w:w="3359" w:type="dxa"/>
            <w:shd w:val="clear" w:color="auto" w:fill="auto"/>
          </w:tcPr>
          <w:p w14:paraId="463115C4" w14:textId="77777777" w:rsidR="00A61D80" w:rsidRPr="00A61D80" w:rsidRDefault="00A61D80" w:rsidP="00F602A1">
            <w:pPr>
              <w:spacing w:after="0" w:line="240" w:lineRule="auto"/>
              <w:ind w:right="283"/>
              <w:rPr>
                <w:rFonts w:ascii="Times New Roman" w:eastAsia="Times New Roman" w:hAnsi="Times New Roman" w:cs="Times New Roman"/>
                <w:snapToGrid w:val="0"/>
                <w:sz w:val="24"/>
                <w:szCs w:val="24"/>
                <w:lang w:eastAsia="ru-RU"/>
              </w:rPr>
            </w:pPr>
            <w:r w:rsidRPr="00A61D80">
              <w:rPr>
                <w:rFonts w:ascii="Times New Roman" w:eastAsia="Times New Roman" w:hAnsi="Times New Roman" w:cs="Times New Roman"/>
                <w:snapToGrid w:val="0"/>
                <w:sz w:val="24"/>
                <w:szCs w:val="24"/>
                <w:lang w:eastAsia="ru-RU"/>
              </w:rPr>
              <w:t xml:space="preserve">Горячие приливы </w:t>
            </w:r>
          </w:p>
        </w:tc>
        <w:tc>
          <w:tcPr>
            <w:tcW w:w="2291" w:type="dxa"/>
            <w:shd w:val="clear" w:color="auto" w:fill="auto"/>
          </w:tcPr>
          <w:p w14:paraId="641CC968" w14:textId="77777777" w:rsidR="00A61D80" w:rsidRPr="00A61D80" w:rsidRDefault="00A61D80" w:rsidP="00F602A1">
            <w:pPr>
              <w:spacing w:after="0" w:line="240" w:lineRule="auto"/>
              <w:ind w:right="283"/>
              <w:rPr>
                <w:rFonts w:ascii="Times New Roman" w:eastAsia="Times New Roman" w:hAnsi="Times New Roman" w:cs="Times New Roman"/>
                <w:snapToGrid w:val="0"/>
                <w:sz w:val="24"/>
                <w:szCs w:val="24"/>
                <w:lang w:eastAsia="ru-RU"/>
              </w:rPr>
            </w:pPr>
            <w:r w:rsidRPr="00A61D80">
              <w:rPr>
                <w:rFonts w:ascii="Times New Roman" w:eastAsia="Times New Roman" w:hAnsi="Times New Roman" w:cs="Times New Roman"/>
                <w:snapToGrid w:val="0"/>
                <w:sz w:val="24"/>
                <w:szCs w:val="24"/>
                <w:lang w:eastAsia="ru-RU"/>
              </w:rPr>
              <w:t>37.6%</w:t>
            </w:r>
          </w:p>
        </w:tc>
        <w:tc>
          <w:tcPr>
            <w:tcW w:w="2146" w:type="dxa"/>
            <w:shd w:val="clear" w:color="auto" w:fill="auto"/>
          </w:tcPr>
          <w:p w14:paraId="3F678661" w14:textId="77777777" w:rsidR="00A61D80" w:rsidRPr="00A61D80" w:rsidRDefault="00A61D80" w:rsidP="00F602A1">
            <w:pPr>
              <w:spacing w:after="0" w:line="240" w:lineRule="auto"/>
              <w:ind w:right="283"/>
              <w:rPr>
                <w:rFonts w:ascii="Times New Roman" w:eastAsia="Times New Roman" w:hAnsi="Times New Roman" w:cs="Times New Roman"/>
                <w:snapToGrid w:val="0"/>
                <w:sz w:val="24"/>
                <w:szCs w:val="24"/>
                <w:lang w:eastAsia="ru-RU"/>
              </w:rPr>
            </w:pPr>
            <w:r w:rsidRPr="00A61D80">
              <w:rPr>
                <w:rFonts w:ascii="Times New Roman" w:eastAsia="Times New Roman" w:hAnsi="Times New Roman" w:cs="Times New Roman"/>
                <w:snapToGrid w:val="0"/>
                <w:sz w:val="24"/>
                <w:szCs w:val="24"/>
                <w:lang w:eastAsia="ru-RU"/>
              </w:rPr>
              <w:t>41.7%**</w:t>
            </w:r>
          </w:p>
        </w:tc>
        <w:tc>
          <w:tcPr>
            <w:tcW w:w="2165" w:type="dxa"/>
            <w:shd w:val="clear" w:color="auto" w:fill="auto"/>
          </w:tcPr>
          <w:p w14:paraId="019B0ACA" w14:textId="77777777" w:rsidR="00A61D80" w:rsidRPr="00A61D80" w:rsidRDefault="00A61D80" w:rsidP="00F602A1">
            <w:pPr>
              <w:spacing w:after="0" w:line="240" w:lineRule="auto"/>
              <w:ind w:right="283"/>
              <w:rPr>
                <w:rFonts w:ascii="Times New Roman" w:eastAsia="Times New Roman" w:hAnsi="Times New Roman" w:cs="Times New Roman"/>
                <w:snapToGrid w:val="0"/>
                <w:sz w:val="24"/>
                <w:szCs w:val="24"/>
                <w:lang w:eastAsia="ru-RU"/>
              </w:rPr>
            </w:pPr>
            <w:r w:rsidRPr="00A61D80">
              <w:rPr>
                <w:rFonts w:ascii="Times New Roman" w:eastAsia="Times New Roman" w:hAnsi="Times New Roman" w:cs="Times New Roman"/>
                <w:snapToGrid w:val="0"/>
                <w:sz w:val="24"/>
                <w:szCs w:val="24"/>
                <w:lang w:eastAsia="ru-RU"/>
              </w:rPr>
              <w:t>43.9%**</w:t>
            </w:r>
          </w:p>
        </w:tc>
      </w:tr>
      <w:tr w:rsidR="00A61D80" w:rsidRPr="00A61D80" w14:paraId="78B34D27" w14:textId="77777777" w:rsidTr="002B682B">
        <w:trPr>
          <w:trHeight w:val="333"/>
        </w:trPr>
        <w:tc>
          <w:tcPr>
            <w:tcW w:w="3359" w:type="dxa"/>
            <w:shd w:val="clear" w:color="auto" w:fill="auto"/>
          </w:tcPr>
          <w:p w14:paraId="0701FAC4" w14:textId="77777777" w:rsidR="00A61D80" w:rsidRPr="00A61D80" w:rsidRDefault="00A61D80" w:rsidP="00F602A1">
            <w:pPr>
              <w:spacing w:after="0" w:line="240" w:lineRule="auto"/>
              <w:ind w:right="283"/>
              <w:rPr>
                <w:rFonts w:ascii="Times New Roman" w:eastAsia="Times New Roman" w:hAnsi="Times New Roman" w:cs="Times New Roman"/>
                <w:snapToGrid w:val="0"/>
                <w:sz w:val="24"/>
                <w:szCs w:val="24"/>
                <w:lang w:eastAsia="ru-RU"/>
              </w:rPr>
            </w:pPr>
            <w:r w:rsidRPr="00A61D80">
              <w:rPr>
                <w:rFonts w:ascii="Times New Roman" w:eastAsia="Times New Roman" w:hAnsi="Times New Roman" w:cs="Times New Roman"/>
                <w:snapToGrid w:val="0"/>
                <w:sz w:val="24"/>
                <w:szCs w:val="24"/>
                <w:lang w:eastAsia="ru-RU"/>
              </w:rPr>
              <w:t>Влагалищные кровотечения</w:t>
            </w:r>
          </w:p>
        </w:tc>
        <w:tc>
          <w:tcPr>
            <w:tcW w:w="2291" w:type="dxa"/>
            <w:shd w:val="clear" w:color="auto" w:fill="auto"/>
          </w:tcPr>
          <w:p w14:paraId="71FDEB75" w14:textId="77777777" w:rsidR="00A61D80" w:rsidRPr="00A61D80" w:rsidRDefault="00A61D80" w:rsidP="00F602A1">
            <w:pPr>
              <w:spacing w:after="0" w:line="240" w:lineRule="auto"/>
              <w:ind w:right="283"/>
              <w:rPr>
                <w:rFonts w:ascii="Times New Roman" w:eastAsia="Times New Roman" w:hAnsi="Times New Roman" w:cs="Times New Roman"/>
                <w:snapToGrid w:val="0"/>
                <w:sz w:val="24"/>
                <w:szCs w:val="24"/>
                <w:lang w:eastAsia="ru-RU"/>
              </w:rPr>
            </w:pPr>
            <w:r w:rsidRPr="00A61D80">
              <w:rPr>
                <w:rFonts w:ascii="Times New Roman" w:eastAsia="Times New Roman" w:hAnsi="Times New Roman" w:cs="Times New Roman"/>
                <w:snapToGrid w:val="0"/>
                <w:sz w:val="24"/>
                <w:szCs w:val="24"/>
                <w:lang w:eastAsia="ru-RU"/>
              </w:rPr>
              <w:t>6.3%</w:t>
            </w:r>
          </w:p>
        </w:tc>
        <w:tc>
          <w:tcPr>
            <w:tcW w:w="2146" w:type="dxa"/>
            <w:shd w:val="clear" w:color="auto" w:fill="auto"/>
          </w:tcPr>
          <w:p w14:paraId="353EDD2E" w14:textId="77777777" w:rsidR="00A61D80" w:rsidRPr="00A61D80" w:rsidRDefault="00A61D80" w:rsidP="00F602A1">
            <w:pPr>
              <w:spacing w:after="0" w:line="240" w:lineRule="auto"/>
              <w:ind w:right="283"/>
              <w:rPr>
                <w:rFonts w:ascii="Times New Roman" w:eastAsia="Times New Roman" w:hAnsi="Times New Roman" w:cs="Times New Roman"/>
                <w:snapToGrid w:val="0"/>
                <w:sz w:val="24"/>
                <w:szCs w:val="24"/>
                <w:lang w:eastAsia="ru-RU"/>
              </w:rPr>
            </w:pPr>
            <w:r w:rsidRPr="00A61D80">
              <w:rPr>
                <w:rFonts w:ascii="Times New Roman" w:eastAsia="Times New Roman" w:hAnsi="Times New Roman" w:cs="Times New Roman"/>
                <w:snapToGrid w:val="0"/>
                <w:sz w:val="24"/>
                <w:szCs w:val="24"/>
                <w:lang w:eastAsia="ru-RU"/>
              </w:rPr>
              <w:t>9.6%**</w:t>
            </w:r>
          </w:p>
        </w:tc>
        <w:tc>
          <w:tcPr>
            <w:tcW w:w="2165" w:type="dxa"/>
            <w:shd w:val="clear" w:color="auto" w:fill="auto"/>
          </w:tcPr>
          <w:p w14:paraId="47B7FEB5" w14:textId="77777777" w:rsidR="00A61D80" w:rsidRPr="00A61D80" w:rsidRDefault="00A61D80" w:rsidP="00F602A1">
            <w:pPr>
              <w:spacing w:after="0" w:line="240" w:lineRule="auto"/>
              <w:ind w:right="283"/>
              <w:rPr>
                <w:rFonts w:ascii="Times New Roman" w:eastAsia="Times New Roman" w:hAnsi="Times New Roman" w:cs="Times New Roman"/>
                <w:snapToGrid w:val="0"/>
                <w:sz w:val="24"/>
                <w:szCs w:val="24"/>
                <w:lang w:eastAsia="ru-RU"/>
              </w:rPr>
            </w:pPr>
            <w:r w:rsidRPr="00A61D80">
              <w:rPr>
                <w:rFonts w:ascii="Times New Roman" w:eastAsia="Times New Roman" w:hAnsi="Times New Roman" w:cs="Times New Roman"/>
                <w:snapToGrid w:val="0"/>
                <w:sz w:val="24"/>
                <w:szCs w:val="24"/>
                <w:lang w:eastAsia="ru-RU"/>
              </w:rPr>
              <w:t>12.7%**</w:t>
            </w:r>
          </w:p>
        </w:tc>
      </w:tr>
    </w:tbl>
    <w:p w14:paraId="11A3C47C" w14:textId="77777777" w:rsidR="00A61D80" w:rsidRPr="00A61D80" w:rsidRDefault="00A61D80" w:rsidP="00F602A1">
      <w:pPr>
        <w:spacing w:after="0" w:line="240" w:lineRule="auto"/>
        <w:ind w:right="283"/>
        <w:jc w:val="both"/>
        <w:rPr>
          <w:rFonts w:ascii="Times New Roman" w:eastAsia="Times New Roman" w:hAnsi="Times New Roman" w:cs="Times New Roman"/>
          <w:bCs/>
          <w:snapToGrid w:val="0"/>
          <w:sz w:val="20"/>
          <w:szCs w:val="20"/>
          <w:lang w:eastAsia="ru-RU"/>
        </w:rPr>
      </w:pPr>
      <w:r w:rsidRPr="00A61D80">
        <w:rPr>
          <w:rFonts w:ascii="Times New Roman" w:eastAsia="Times New Roman" w:hAnsi="Times New Roman" w:cs="Times New Roman"/>
          <w:bCs/>
          <w:snapToGrid w:val="0"/>
          <w:sz w:val="20"/>
          <w:szCs w:val="20"/>
          <w:lang w:eastAsia="ru-RU"/>
        </w:rPr>
        <w:t xml:space="preserve">* Достоверно ниже, чем при </w:t>
      </w:r>
      <w:proofErr w:type="spellStart"/>
      <w:r w:rsidRPr="00A61D80">
        <w:rPr>
          <w:rFonts w:ascii="Times New Roman" w:eastAsia="Times New Roman" w:hAnsi="Times New Roman" w:cs="Times New Roman"/>
          <w:bCs/>
          <w:snapToGrid w:val="0"/>
          <w:sz w:val="20"/>
          <w:szCs w:val="20"/>
          <w:lang w:eastAsia="ru-RU"/>
        </w:rPr>
        <w:t>монотерапии</w:t>
      </w:r>
      <w:proofErr w:type="spellEnd"/>
      <w:r w:rsidRPr="00A61D80">
        <w:rPr>
          <w:rFonts w:ascii="Times New Roman" w:eastAsia="Times New Roman" w:hAnsi="Times New Roman" w:cs="Times New Roman"/>
          <w:bCs/>
          <w:snapToGrid w:val="0"/>
          <w:sz w:val="20"/>
          <w:szCs w:val="20"/>
          <w:lang w:eastAsia="ru-RU"/>
        </w:rPr>
        <w:t xml:space="preserve"> </w:t>
      </w:r>
      <w:proofErr w:type="spellStart"/>
      <w:r w:rsidRPr="00A61D80">
        <w:rPr>
          <w:rFonts w:ascii="Times New Roman" w:eastAsia="Times New Roman" w:hAnsi="Times New Roman" w:cs="Times New Roman"/>
          <w:bCs/>
          <w:snapToGrid w:val="0"/>
          <w:sz w:val="20"/>
          <w:szCs w:val="20"/>
          <w:lang w:eastAsia="ru-RU"/>
        </w:rPr>
        <w:t>летрозолом</w:t>
      </w:r>
      <w:proofErr w:type="spellEnd"/>
    </w:p>
    <w:p w14:paraId="52B59180" w14:textId="77777777" w:rsidR="00A61D80" w:rsidRPr="00A61D80" w:rsidRDefault="00A61D80" w:rsidP="00F602A1">
      <w:pPr>
        <w:spacing w:after="0" w:line="240" w:lineRule="auto"/>
        <w:ind w:right="283"/>
        <w:jc w:val="both"/>
        <w:rPr>
          <w:rFonts w:ascii="Times New Roman" w:eastAsia="Times New Roman" w:hAnsi="Times New Roman" w:cs="Times New Roman"/>
          <w:bCs/>
          <w:snapToGrid w:val="0"/>
          <w:sz w:val="20"/>
          <w:szCs w:val="20"/>
          <w:lang w:eastAsia="ru-RU"/>
        </w:rPr>
      </w:pPr>
      <w:r w:rsidRPr="00A61D80">
        <w:rPr>
          <w:rFonts w:ascii="Times New Roman" w:eastAsia="Times New Roman" w:hAnsi="Times New Roman" w:cs="Times New Roman"/>
          <w:bCs/>
          <w:snapToGrid w:val="0"/>
          <w:sz w:val="20"/>
          <w:szCs w:val="20"/>
          <w:lang w:eastAsia="ru-RU"/>
        </w:rPr>
        <w:t xml:space="preserve">** Достоверно выше, чем при </w:t>
      </w:r>
      <w:proofErr w:type="spellStart"/>
      <w:r w:rsidRPr="00A61D80">
        <w:rPr>
          <w:rFonts w:ascii="Times New Roman" w:eastAsia="Times New Roman" w:hAnsi="Times New Roman" w:cs="Times New Roman"/>
          <w:bCs/>
          <w:snapToGrid w:val="0"/>
          <w:sz w:val="20"/>
          <w:szCs w:val="20"/>
          <w:lang w:eastAsia="ru-RU"/>
        </w:rPr>
        <w:t>монотерапии</w:t>
      </w:r>
      <w:proofErr w:type="spellEnd"/>
      <w:r w:rsidRPr="00A61D80">
        <w:rPr>
          <w:rFonts w:ascii="Times New Roman" w:eastAsia="Times New Roman" w:hAnsi="Times New Roman" w:cs="Times New Roman"/>
          <w:bCs/>
          <w:snapToGrid w:val="0"/>
          <w:sz w:val="20"/>
          <w:szCs w:val="20"/>
          <w:lang w:eastAsia="ru-RU"/>
        </w:rPr>
        <w:t xml:space="preserve"> </w:t>
      </w:r>
      <w:proofErr w:type="spellStart"/>
      <w:r w:rsidRPr="00A61D80">
        <w:rPr>
          <w:rFonts w:ascii="Times New Roman" w:eastAsia="Times New Roman" w:hAnsi="Times New Roman" w:cs="Times New Roman"/>
          <w:bCs/>
          <w:snapToGrid w:val="0"/>
          <w:sz w:val="20"/>
          <w:szCs w:val="20"/>
          <w:lang w:eastAsia="ru-RU"/>
        </w:rPr>
        <w:t>летрозолом</w:t>
      </w:r>
      <w:proofErr w:type="spellEnd"/>
    </w:p>
    <w:p w14:paraId="1A9BCE25" w14:textId="77777777" w:rsidR="00A61D80" w:rsidRPr="00A61D80" w:rsidRDefault="00A61D80" w:rsidP="00F602A1">
      <w:pPr>
        <w:spacing w:after="0" w:line="240" w:lineRule="auto"/>
        <w:ind w:right="283"/>
        <w:jc w:val="both"/>
        <w:rPr>
          <w:rFonts w:ascii="Times New Roman" w:eastAsia="Times New Roman" w:hAnsi="Times New Roman" w:cs="Times New Roman"/>
          <w:bCs/>
          <w:snapToGrid w:val="0"/>
          <w:sz w:val="20"/>
          <w:szCs w:val="20"/>
          <w:lang w:eastAsia="ru-RU"/>
        </w:rPr>
      </w:pPr>
      <w:r w:rsidRPr="00A61D80">
        <w:rPr>
          <w:rFonts w:ascii="Times New Roman" w:eastAsia="Times New Roman" w:hAnsi="Times New Roman" w:cs="Times New Roman"/>
          <w:bCs/>
          <w:i/>
          <w:iCs/>
          <w:snapToGrid w:val="0"/>
          <w:sz w:val="20"/>
          <w:szCs w:val="20"/>
          <w:lang w:eastAsia="ru-RU"/>
        </w:rPr>
        <w:t>Примечание</w:t>
      </w:r>
      <w:r w:rsidRPr="00A61D80">
        <w:rPr>
          <w:rFonts w:ascii="Times New Roman" w:eastAsia="Times New Roman" w:hAnsi="Times New Roman" w:cs="Times New Roman"/>
          <w:bCs/>
          <w:snapToGrid w:val="0"/>
          <w:sz w:val="20"/>
          <w:szCs w:val="20"/>
          <w:lang w:eastAsia="ru-RU"/>
        </w:rPr>
        <w:t>: период наблюдения – время лечения или период времени в течение 30 дней после окончания лечения.</w:t>
      </w:r>
    </w:p>
    <w:p w14:paraId="66401178" w14:textId="77777777" w:rsidR="00A61D80" w:rsidRPr="00A61D80" w:rsidRDefault="00A61D80" w:rsidP="00F602A1">
      <w:pPr>
        <w:spacing w:after="0" w:line="240" w:lineRule="auto"/>
        <w:ind w:right="283"/>
        <w:contextualSpacing/>
        <w:jc w:val="both"/>
        <w:rPr>
          <w:rFonts w:ascii="Times New Roman" w:eastAsia="Times New Roman" w:hAnsi="Times New Roman" w:cs="Times New Roman"/>
          <w:snapToGrid w:val="0"/>
          <w:sz w:val="24"/>
          <w:szCs w:val="24"/>
          <w:u w:val="single"/>
          <w:lang w:eastAsia="ru-RU"/>
        </w:rPr>
      </w:pPr>
      <w:r w:rsidRPr="00A61D80">
        <w:rPr>
          <w:rFonts w:ascii="Times New Roman" w:eastAsia="Times New Roman" w:hAnsi="Times New Roman" w:cs="Times New Roman"/>
          <w:snapToGrid w:val="0"/>
          <w:sz w:val="24"/>
          <w:szCs w:val="24"/>
          <w:u w:val="single"/>
          <w:lang w:eastAsia="ru-RU"/>
        </w:rPr>
        <w:t>Описание отдельных нежелательных реакций</w:t>
      </w:r>
    </w:p>
    <w:p w14:paraId="42EB12FE" w14:textId="77777777" w:rsidR="00A61D80" w:rsidRPr="00A61D80" w:rsidRDefault="00A61D80" w:rsidP="00F602A1">
      <w:pPr>
        <w:spacing w:after="0" w:line="240" w:lineRule="auto"/>
        <w:ind w:right="283"/>
        <w:contextualSpacing/>
        <w:jc w:val="both"/>
        <w:rPr>
          <w:rFonts w:ascii="Times New Roman" w:eastAsia="Times New Roman" w:hAnsi="Times New Roman" w:cs="Times New Roman"/>
          <w:bCs/>
          <w:i/>
          <w:iCs/>
          <w:snapToGrid w:val="0"/>
          <w:sz w:val="24"/>
          <w:szCs w:val="24"/>
          <w:lang w:eastAsia="ru-RU"/>
        </w:rPr>
      </w:pPr>
      <w:r w:rsidRPr="00A61D80">
        <w:rPr>
          <w:rFonts w:ascii="Times New Roman" w:eastAsia="Times New Roman" w:hAnsi="Times New Roman" w:cs="Times New Roman"/>
          <w:bCs/>
          <w:i/>
          <w:iCs/>
          <w:snapToGrid w:val="0"/>
          <w:sz w:val="24"/>
          <w:szCs w:val="24"/>
          <w:lang w:eastAsia="ru-RU"/>
        </w:rPr>
        <w:t>Нежелательные реакции со стороны сердца</w:t>
      </w:r>
    </w:p>
    <w:p w14:paraId="4F44716A" w14:textId="77777777" w:rsidR="00A61D80" w:rsidRPr="00A61D80" w:rsidRDefault="00A61D80" w:rsidP="00F602A1">
      <w:pPr>
        <w:tabs>
          <w:tab w:val="left" w:pos="360"/>
        </w:tabs>
        <w:autoSpaceDE w:val="0"/>
        <w:autoSpaceDN w:val="0"/>
        <w:adjustRightInd w:val="0"/>
        <w:spacing w:after="0" w:line="240" w:lineRule="auto"/>
        <w:ind w:right="283"/>
        <w:contextualSpacing/>
        <w:jc w:val="both"/>
        <w:rPr>
          <w:rFonts w:ascii="Times New Roman" w:eastAsia="Times New Roman" w:hAnsi="Times New Roman" w:cs="Times New Roman"/>
          <w:snapToGrid w:val="0"/>
          <w:sz w:val="24"/>
          <w:szCs w:val="24"/>
          <w:lang w:eastAsia="ru-RU"/>
        </w:rPr>
      </w:pPr>
      <w:r w:rsidRPr="00A61D80">
        <w:rPr>
          <w:rFonts w:ascii="Times New Roman" w:eastAsia="Times New Roman" w:hAnsi="Times New Roman" w:cs="Times New Roman"/>
          <w:snapToGrid w:val="0"/>
          <w:sz w:val="24"/>
          <w:szCs w:val="24"/>
          <w:lang w:eastAsia="ru-RU"/>
        </w:rPr>
        <w:t xml:space="preserve">При </w:t>
      </w:r>
      <w:proofErr w:type="spellStart"/>
      <w:r w:rsidRPr="00A61D80">
        <w:rPr>
          <w:rFonts w:ascii="Times New Roman" w:eastAsia="Times New Roman" w:hAnsi="Times New Roman" w:cs="Times New Roman"/>
          <w:snapToGrid w:val="0"/>
          <w:sz w:val="24"/>
          <w:szCs w:val="24"/>
          <w:lang w:eastAsia="ru-RU"/>
        </w:rPr>
        <w:t>адъювантной</w:t>
      </w:r>
      <w:proofErr w:type="spellEnd"/>
      <w:r w:rsidRPr="00A61D80">
        <w:rPr>
          <w:rFonts w:ascii="Times New Roman" w:eastAsia="Times New Roman" w:hAnsi="Times New Roman" w:cs="Times New Roman"/>
          <w:snapToGrid w:val="0"/>
          <w:sz w:val="24"/>
          <w:szCs w:val="24"/>
          <w:lang w:eastAsia="ru-RU"/>
        </w:rPr>
        <w:t xml:space="preserve"> терапии, в дополнении к данным. приведенным в Таблице 2, следующие побочные реакции наблюдались в группах, получавших </w:t>
      </w:r>
      <w:proofErr w:type="spellStart"/>
      <w:r w:rsidRPr="00A61D80">
        <w:rPr>
          <w:rFonts w:ascii="Times New Roman" w:eastAsia="Times New Roman" w:hAnsi="Times New Roman" w:cs="Times New Roman"/>
          <w:snapToGrid w:val="0"/>
          <w:sz w:val="24"/>
          <w:szCs w:val="24"/>
          <w:lang w:eastAsia="ru-RU"/>
        </w:rPr>
        <w:t>летрозол</w:t>
      </w:r>
      <w:proofErr w:type="spellEnd"/>
      <w:r w:rsidRPr="00A61D80">
        <w:rPr>
          <w:rFonts w:ascii="Times New Roman" w:eastAsia="Times New Roman" w:hAnsi="Times New Roman" w:cs="Times New Roman"/>
          <w:snapToGrid w:val="0"/>
          <w:sz w:val="24"/>
          <w:szCs w:val="24"/>
          <w:lang w:eastAsia="ru-RU"/>
        </w:rPr>
        <w:t xml:space="preserve"> и тамоксифен соответственно (при медиане длительности лечения в 60 месяцев + 30 дней): стенокардия, требующая хирургического вмешательства (1.0% </w:t>
      </w:r>
      <w:proofErr w:type="spellStart"/>
      <w:r w:rsidRPr="00A61D80">
        <w:rPr>
          <w:rFonts w:ascii="Times New Roman" w:eastAsia="Times New Roman" w:hAnsi="Times New Roman" w:cs="Times New Roman"/>
          <w:snapToGrid w:val="0"/>
          <w:sz w:val="24"/>
          <w:szCs w:val="24"/>
          <w:lang w:eastAsia="ru-RU"/>
        </w:rPr>
        <w:t>vs</w:t>
      </w:r>
      <w:proofErr w:type="spellEnd"/>
      <w:r w:rsidRPr="00A61D80">
        <w:rPr>
          <w:rFonts w:ascii="Times New Roman" w:eastAsia="Times New Roman" w:hAnsi="Times New Roman" w:cs="Times New Roman"/>
          <w:snapToGrid w:val="0"/>
          <w:sz w:val="24"/>
          <w:szCs w:val="24"/>
          <w:lang w:eastAsia="ru-RU"/>
        </w:rPr>
        <w:t xml:space="preserve">. 1.0%), сердечная недостаточность (1.1% </w:t>
      </w:r>
      <w:proofErr w:type="spellStart"/>
      <w:r w:rsidRPr="00A61D80">
        <w:rPr>
          <w:rFonts w:ascii="Times New Roman" w:eastAsia="Times New Roman" w:hAnsi="Times New Roman" w:cs="Times New Roman"/>
          <w:snapToGrid w:val="0"/>
          <w:sz w:val="24"/>
          <w:szCs w:val="24"/>
          <w:lang w:eastAsia="ru-RU"/>
        </w:rPr>
        <w:t>vs</w:t>
      </w:r>
      <w:proofErr w:type="spellEnd"/>
      <w:r w:rsidRPr="00A61D80">
        <w:rPr>
          <w:rFonts w:ascii="Times New Roman" w:eastAsia="Times New Roman" w:hAnsi="Times New Roman" w:cs="Times New Roman"/>
          <w:snapToGrid w:val="0"/>
          <w:sz w:val="24"/>
          <w:szCs w:val="24"/>
          <w:lang w:eastAsia="ru-RU"/>
        </w:rPr>
        <w:t xml:space="preserve">. 0.6%), гипертензия (5.6% </w:t>
      </w:r>
      <w:proofErr w:type="spellStart"/>
      <w:r w:rsidRPr="00A61D80">
        <w:rPr>
          <w:rFonts w:ascii="Times New Roman" w:eastAsia="Times New Roman" w:hAnsi="Times New Roman" w:cs="Times New Roman"/>
          <w:snapToGrid w:val="0"/>
          <w:sz w:val="24"/>
          <w:szCs w:val="24"/>
          <w:lang w:eastAsia="ru-RU"/>
        </w:rPr>
        <w:t>vs</w:t>
      </w:r>
      <w:proofErr w:type="spellEnd"/>
      <w:r w:rsidRPr="00A61D80">
        <w:rPr>
          <w:rFonts w:ascii="Times New Roman" w:eastAsia="Times New Roman" w:hAnsi="Times New Roman" w:cs="Times New Roman"/>
          <w:snapToGrid w:val="0"/>
          <w:sz w:val="24"/>
          <w:szCs w:val="24"/>
          <w:lang w:eastAsia="ru-RU"/>
        </w:rPr>
        <w:t xml:space="preserve">. 5.7%); нарушение мозгового кровообращения / транзиторные ишемические атаки (2.1% </w:t>
      </w:r>
      <w:proofErr w:type="spellStart"/>
      <w:r w:rsidRPr="00A61D80">
        <w:rPr>
          <w:rFonts w:ascii="Times New Roman" w:eastAsia="Times New Roman" w:hAnsi="Times New Roman" w:cs="Times New Roman"/>
          <w:snapToGrid w:val="0"/>
          <w:sz w:val="24"/>
          <w:szCs w:val="24"/>
          <w:lang w:eastAsia="ru-RU"/>
        </w:rPr>
        <w:t>vs</w:t>
      </w:r>
      <w:proofErr w:type="spellEnd"/>
      <w:r w:rsidRPr="00A61D80">
        <w:rPr>
          <w:rFonts w:ascii="Times New Roman" w:eastAsia="Times New Roman" w:hAnsi="Times New Roman" w:cs="Times New Roman"/>
          <w:snapToGrid w:val="0"/>
          <w:sz w:val="24"/>
          <w:szCs w:val="24"/>
          <w:lang w:eastAsia="ru-RU"/>
        </w:rPr>
        <w:t>. 1.9%).</w:t>
      </w:r>
    </w:p>
    <w:p w14:paraId="0FBFD2DE" w14:textId="7D2AA5C7" w:rsidR="00A61D80" w:rsidRPr="00A61D80" w:rsidRDefault="00A61D80" w:rsidP="00F602A1">
      <w:pPr>
        <w:tabs>
          <w:tab w:val="left" w:pos="360"/>
        </w:tabs>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A61D80">
        <w:rPr>
          <w:rFonts w:ascii="Times New Roman" w:eastAsia="Times New Roman" w:hAnsi="Times New Roman" w:cs="Times New Roman"/>
          <w:snapToGrid w:val="0"/>
          <w:sz w:val="24"/>
          <w:szCs w:val="24"/>
          <w:lang w:eastAsia="ru-RU"/>
        </w:rPr>
        <w:t xml:space="preserve">При длительной </w:t>
      </w:r>
      <w:proofErr w:type="spellStart"/>
      <w:r w:rsidRPr="00A61D80">
        <w:rPr>
          <w:rFonts w:ascii="Times New Roman" w:eastAsia="Times New Roman" w:hAnsi="Times New Roman" w:cs="Times New Roman"/>
          <w:snapToGrid w:val="0"/>
          <w:sz w:val="24"/>
          <w:szCs w:val="24"/>
          <w:lang w:eastAsia="ru-RU"/>
        </w:rPr>
        <w:t>адъювантной</w:t>
      </w:r>
      <w:proofErr w:type="spellEnd"/>
      <w:r w:rsidRPr="00A61D80">
        <w:rPr>
          <w:rFonts w:ascii="Times New Roman" w:eastAsia="Times New Roman" w:hAnsi="Times New Roman" w:cs="Times New Roman"/>
          <w:snapToGrid w:val="0"/>
          <w:sz w:val="24"/>
          <w:szCs w:val="24"/>
          <w:lang w:eastAsia="ru-RU"/>
        </w:rPr>
        <w:t xml:space="preserve"> терапии </w:t>
      </w:r>
      <w:proofErr w:type="spellStart"/>
      <w:r w:rsidRPr="00A61D80">
        <w:rPr>
          <w:rFonts w:ascii="Times New Roman" w:eastAsia="Times New Roman" w:hAnsi="Times New Roman" w:cs="Times New Roman"/>
          <w:snapToGrid w:val="0"/>
          <w:sz w:val="24"/>
          <w:szCs w:val="24"/>
          <w:lang w:eastAsia="ru-RU"/>
        </w:rPr>
        <w:t>летрозолом</w:t>
      </w:r>
      <w:proofErr w:type="spellEnd"/>
      <w:r w:rsidRPr="00A61D80">
        <w:rPr>
          <w:rFonts w:ascii="Times New Roman" w:eastAsia="Times New Roman" w:hAnsi="Times New Roman" w:cs="Times New Roman"/>
          <w:snapToGrid w:val="0"/>
          <w:sz w:val="24"/>
          <w:szCs w:val="24"/>
          <w:lang w:eastAsia="ru-RU"/>
        </w:rPr>
        <w:t xml:space="preserve"> (медиана продолжительности лечения 5 лет) и плацебо (медиана </w:t>
      </w:r>
      <w:r w:rsidRPr="00A61D80">
        <w:rPr>
          <w:rFonts w:ascii="Times New Roman" w:eastAsia="Times New Roman" w:hAnsi="Times New Roman" w:cs="Times New Roman"/>
          <w:i/>
          <w:iCs/>
          <w:snapToGrid w:val="0"/>
          <w:sz w:val="24"/>
          <w:szCs w:val="24"/>
          <w:lang w:eastAsia="ru-RU"/>
        </w:rPr>
        <w:t>продолжительности</w:t>
      </w:r>
      <w:r w:rsidRPr="00A61D80">
        <w:rPr>
          <w:rFonts w:ascii="Times New Roman" w:eastAsia="Times New Roman" w:hAnsi="Times New Roman" w:cs="Times New Roman"/>
          <w:snapToGrid w:val="0"/>
          <w:sz w:val="24"/>
          <w:szCs w:val="24"/>
          <w:lang w:eastAsia="ru-RU"/>
        </w:rPr>
        <w:t xml:space="preserve"> лечения 3 года) соответственно: стенокардия, требующая хирургического вмешательства (0.8% </w:t>
      </w:r>
      <w:proofErr w:type="spellStart"/>
      <w:r w:rsidRPr="00A61D80">
        <w:rPr>
          <w:rFonts w:ascii="Times New Roman" w:eastAsia="Times New Roman" w:hAnsi="Times New Roman" w:cs="Times New Roman"/>
          <w:snapToGrid w:val="0"/>
          <w:sz w:val="24"/>
          <w:szCs w:val="24"/>
          <w:lang w:eastAsia="ru-RU"/>
        </w:rPr>
        <w:t>vs</w:t>
      </w:r>
      <w:proofErr w:type="spellEnd"/>
      <w:r w:rsidRPr="00A61D80">
        <w:rPr>
          <w:rFonts w:ascii="Times New Roman" w:eastAsia="Times New Roman" w:hAnsi="Times New Roman" w:cs="Times New Roman"/>
          <w:snapToGrid w:val="0"/>
          <w:sz w:val="24"/>
          <w:szCs w:val="24"/>
          <w:lang w:eastAsia="ru-RU"/>
        </w:rPr>
        <w:t xml:space="preserve">. 0.6 %), новые приступы или ухудшения стенокардии (1.4% </w:t>
      </w:r>
      <w:proofErr w:type="spellStart"/>
      <w:r w:rsidRPr="00A61D80">
        <w:rPr>
          <w:rFonts w:ascii="Times New Roman" w:eastAsia="Times New Roman" w:hAnsi="Times New Roman" w:cs="Times New Roman"/>
          <w:snapToGrid w:val="0"/>
          <w:sz w:val="24"/>
          <w:szCs w:val="24"/>
          <w:lang w:eastAsia="ru-RU"/>
        </w:rPr>
        <w:t>vs</w:t>
      </w:r>
      <w:proofErr w:type="spellEnd"/>
      <w:r w:rsidRPr="00A61D80">
        <w:rPr>
          <w:rFonts w:ascii="Times New Roman" w:eastAsia="Times New Roman" w:hAnsi="Times New Roman" w:cs="Times New Roman"/>
          <w:snapToGrid w:val="0"/>
          <w:sz w:val="24"/>
          <w:szCs w:val="24"/>
          <w:lang w:eastAsia="ru-RU"/>
        </w:rPr>
        <w:t xml:space="preserve">. 1.0%), инфаркт миокарда 1.0% </w:t>
      </w:r>
      <w:proofErr w:type="spellStart"/>
      <w:r w:rsidRPr="00A61D80">
        <w:rPr>
          <w:rFonts w:ascii="Times New Roman" w:eastAsia="Times New Roman" w:hAnsi="Times New Roman" w:cs="Times New Roman"/>
          <w:snapToGrid w:val="0"/>
          <w:sz w:val="24"/>
          <w:szCs w:val="24"/>
          <w:lang w:eastAsia="ru-RU"/>
        </w:rPr>
        <w:t>vs</w:t>
      </w:r>
      <w:proofErr w:type="spellEnd"/>
      <w:r w:rsidRPr="00A61D80">
        <w:rPr>
          <w:rFonts w:ascii="Times New Roman" w:eastAsia="Times New Roman" w:hAnsi="Times New Roman" w:cs="Times New Roman"/>
          <w:snapToGrid w:val="0"/>
          <w:sz w:val="24"/>
          <w:szCs w:val="24"/>
          <w:lang w:eastAsia="ru-RU"/>
        </w:rPr>
        <w:t xml:space="preserve">. 0.7%), тромбоэмболический эпизод* (0.9% </w:t>
      </w:r>
      <w:proofErr w:type="spellStart"/>
      <w:r w:rsidRPr="00A61D80">
        <w:rPr>
          <w:rFonts w:ascii="Times New Roman" w:eastAsia="Times New Roman" w:hAnsi="Times New Roman" w:cs="Times New Roman"/>
          <w:snapToGrid w:val="0"/>
          <w:sz w:val="24"/>
          <w:szCs w:val="24"/>
          <w:lang w:eastAsia="ru-RU"/>
        </w:rPr>
        <w:t>vs</w:t>
      </w:r>
      <w:proofErr w:type="spellEnd"/>
      <w:r w:rsidRPr="00A61D80">
        <w:rPr>
          <w:rFonts w:ascii="Times New Roman" w:eastAsia="Times New Roman" w:hAnsi="Times New Roman" w:cs="Times New Roman"/>
          <w:snapToGrid w:val="0"/>
          <w:sz w:val="24"/>
          <w:szCs w:val="24"/>
          <w:lang w:eastAsia="ru-RU"/>
        </w:rPr>
        <w:t xml:space="preserve">. 0.3%), нарушение мозгового кровообращения/ транзиторные ишемические атаки* (1.5% </w:t>
      </w:r>
      <w:proofErr w:type="spellStart"/>
      <w:r w:rsidRPr="00A61D80">
        <w:rPr>
          <w:rFonts w:ascii="Times New Roman" w:eastAsia="Times New Roman" w:hAnsi="Times New Roman" w:cs="Times New Roman"/>
          <w:snapToGrid w:val="0"/>
          <w:sz w:val="24"/>
          <w:szCs w:val="24"/>
          <w:lang w:eastAsia="ru-RU"/>
        </w:rPr>
        <w:t>vs</w:t>
      </w:r>
      <w:proofErr w:type="spellEnd"/>
      <w:r w:rsidRPr="00A61D80">
        <w:rPr>
          <w:rFonts w:ascii="Times New Roman" w:eastAsia="Times New Roman" w:hAnsi="Times New Roman" w:cs="Times New Roman"/>
          <w:snapToGrid w:val="0"/>
          <w:sz w:val="24"/>
          <w:szCs w:val="24"/>
          <w:lang w:eastAsia="ru-RU"/>
        </w:rPr>
        <w:t>. 0.8%).</w:t>
      </w:r>
    </w:p>
    <w:p w14:paraId="4D093C94" w14:textId="77777777" w:rsidR="00A61D80" w:rsidRPr="00A61D80" w:rsidRDefault="00A61D80" w:rsidP="00F602A1">
      <w:pPr>
        <w:tabs>
          <w:tab w:val="left" w:pos="360"/>
        </w:tabs>
        <w:autoSpaceDE w:val="0"/>
        <w:autoSpaceDN w:val="0"/>
        <w:adjustRightInd w:val="0"/>
        <w:spacing w:after="0" w:line="240" w:lineRule="auto"/>
        <w:ind w:right="283"/>
        <w:jc w:val="both"/>
        <w:rPr>
          <w:rFonts w:ascii="Times New Roman" w:eastAsia="Times New Roman" w:hAnsi="Times New Roman" w:cs="Times New Roman"/>
          <w:snapToGrid w:val="0"/>
          <w:lang w:eastAsia="ru-RU"/>
        </w:rPr>
      </w:pPr>
      <w:r w:rsidRPr="00A61D80">
        <w:rPr>
          <w:rFonts w:ascii="Times New Roman" w:eastAsia="Times New Roman" w:hAnsi="Times New Roman" w:cs="Times New Roman"/>
          <w:snapToGrid w:val="0"/>
          <w:lang w:eastAsia="ru-RU"/>
        </w:rPr>
        <w:t>События, обозначенные *, имели статистически достоверные различия между группами.</w:t>
      </w:r>
    </w:p>
    <w:p w14:paraId="7665E0DD" w14:textId="77777777" w:rsidR="00A61D80" w:rsidRPr="00A61D80" w:rsidRDefault="00A61D80" w:rsidP="00F602A1">
      <w:pPr>
        <w:tabs>
          <w:tab w:val="left" w:pos="360"/>
        </w:tabs>
        <w:autoSpaceDE w:val="0"/>
        <w:autoSpaceDN w:val="0"/>
        <w:adjustRightInd w:val="0"/>
        <w:spacing w:after="0" w:line="240" w:lineRule="auto"/>
        <w:ind w:right="283"/>
        <w:jc w:val="both"/>
        <w:rPr>
          <w:rFonts w:ascii="Times New Roman" w:eastAsia="Times New Roman" w:hAnsi="Times New Roman" w:cs="Times New Roman"/>
          <w:snapToGrid w:val="0"/>
          <w:lang w:eastAsia="ru-RU"/>
        </w:rPr>
      </w:pPr>
      <w:r w:rsidRPr="00A61D80">
        <w:rPr>
          <w:rFonts w:ascii="Times New Roman" w:eastAsia="Times New Roman" w:hAnsi="Times New Roman" w:cs="Times New Roman"/>
          <w:bCs/>
          <w:i/>
          <w:iCs/>
          <w:snapToGrid w:val="0"/>
          <w:sz w:val="24"/>
          <w:szCs w:val="24"/>
          <w:lang w:eastAsia="ru-RU"/>
        </w:rPr>
        <w:t>Нежелательные реакции со стороны скелетно-мышечной системы</w:t>
      </w:r>
    </w:p>
    <w:p w14:paraId="3D707C17" w14:textId="77777777" w:rsidR="00A61D80" w:rsidRPr="00A61D80" w:rsidRDefault="00A61D80" w:rsidP="00F602A1">
      <w:pPr>
        <w:tabs>
          <w:tab w:val="left" w:pos="360"/>
        </w:tabs>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A61D80">
        <w:rPr>
          <w:rFonts w:ascii="Times New Roman" w:eastAsia="Times New Roman" w:hAnsi="Times New Roman" w:cs="Times New Roman"/>
          <w:snapToGrid w:val="0"/>
          <w:sz w:val="24"/>
          <w:szCs w:val="24"/>
          <w:lang w:eastAsia="ru-RU"/>
        </w:rPr>
        <w:t xml:space="preserve">При длительной </w:t>
      </w:r>
      <w:proofErr w:type="spellStart"/>
      <w:r w:rsidRPr="00A61D80">
        <w:rPr>
          <w:rFonts w:ascii="Times New Roman" w:eastAsia="Times New Roman" w:hAnsi="Times New Roman" w:cs="Times New Roman"/>
          <w:snapToGrid w:val="0"/>
          <w:sz w:val="24"/>
          <w:szCs w:val="24"/>
          <w:lang w:eastAsia="ru-RU"/>
        </w:rPr>
        <w:t>адъювантной</w:t>
      </w:r>
      <w:proofErr w:type="spellEnd"/>
      <w:r w:rsidRPr="00A61D80">
        <w:rPr>
          <w:rFonts w:ascii="Times New Roman" w:eastAsia="Times New Roman" w:hAnsi="Times New Roman" w:cs="Times New Roman"/>
          <w:snapToGrid w:val="0"/>
          <w:sz w:val="24"/>
          <w:szCs w:val="24"/>
          <w:lang w:eastAsia="ru-RU"/>
        </w:rPr>
        <w:t xml:space="preserve"> терапии у большего количества пациентов, получавших </w:t>
      </w:r>
      <w:proofErr w:type="spellStart"/>
      <w:r w:rsidRPr="00A61D80">
        <w:rPr>
          <w:rFonts w:ascii="Times New Roman" w:eastAsia="Times New Roman" w:hAnsi="Times New Roman" w:cs="Times New Roman"/>
          <w:snapToGrid w:val="0"/>
          <w:sz w:val="24"/>
          <w:szCs w:val="24"/>
          <w:lang w:eastAsia="ru-RU"/>
        </w:rPr>
        <w:t>летрозол</w:t>
      </w:r>
      <w:proofErr w:type="spellEnd"/>
      <w:r w:rsidRPr="00A61D80">
        <w:rPr>
          <w:rFonts w:ascii="Times New Roman" w:eastAsia="Times New Roman" w:hAnsi="Times New Roman" w:cs="Times New Roman"/>
          <w:snapToGrid w:val="0"/>
          <w:sz w:val="24"/>
          <w:szCs w:val="24"/>
          <w:lang w:eastAsia="ru-RU"/>
        </w:rPr>
        <w:t xml:space="preserve">, наблюдались переломы костей и остеопороз (переломы костей 10.4% и остеопороз 12.2%), по сравнению с группой плацебо (5.8% и 6.4% соответственно). Медиана продолжительности лечения составляла 5 лет для </w:t>
      </w:r>
      <w:proofErr w:type="spellStart"/>
      <w:r w:rsidRPr="00A61D80">
        <w:rPr>
          <w:rFonts w:ascii="Times New Roman" w:eastAsia="Times New Roman" w:hAnsi="Times New Roman" w:cs="Times New Roman"/>
          <w:snapToGrid w:val="0"/>
          <w:sz w:val="24"/>
          <w:szCs w:val="24"/>
          <w:lang w:eastAsia="ru-RU"/>
        </w:rPr>
        <w:t>летрозола</w:t>
      </w:r>
      <w:proofErr w:type="spellEnd"/>
      <w:r w:rsidRPr="00A61D80">
        <w:rPr>
          <w:rFonts w:ascii="Times New Roman" w:eastAsia="Times New Roman" w:hAnsi="Times New Roman" w:cs="Times New Roman"/>
          <w:snapToGrid w:val="0"/>
          <w:sz w:val="24"/>
          <w:szCs w:val="24"/>
          <w:lang w:eastAsia="ru-RU"/>
        </w:rPr>
        <w:t>, по сравнению с 3 годами для плацебо.</w:t>
      </w:r>
    </w:p>
    <w:p w14:paraId="1F55574C" w14:textId="77777777" w:rsidR="00A61D80" w:rsidRPr="00A61D80" w:rsidRDefault="00A61D80" w:rsidP="00F602A1">
      <w:pPr>
        <w:spacing w:after="0" w:line="240" w:lineRule="auto"/>
        <w:ind w:right="283"/>
        <w:jc w:val="both"/>
        <w:rPr>
          <w:rFonts w:ascii="Times New Roman" w:eastAsia="Times New Roman" w:hAnsi="Times New Roman" w:cs="Times New Roman"/>
          <w:b/>
          <w:snapToGrid w:val="0"/>
          <w:sz w:val="24"/>
          <w:szCs w:val="24"/>
          <w:lang w:eastAsia="ru-RU"/>
        </w:rPr>
      </w:pPr>
    </w:p>
    <w:p w14:paraId="2802C964" w14:textId="77777777" w:rsidR="00A61D80" w:rsidRPr="00A61D80" w:rsidRDefault="00A61D80" w:rsidP="00F602A1">
      <w:pPr>
        <w:spacing w:after="0" w:line="240" w:lineRule="auto"/>
        <w:ind w:right="283"/>
        <w:jc w:val="both"/>
        <w:rPr>
          <w:rFonts w:ascii="Times New Roman" w:eastAsia="Times New Roman" w:hAnsi="Times New Roman" w:cs="Times New Roman"/>
          <w:b/>
          <w:snapToGrid w:val="0"/>
          <w:sz w:val="24"/>
          <w:szCs w:val="24"/>
          <w:lang w:eastAsia="ru-RU"/>
        </w:rPr>
      </w:pPr>
      <w:r w:rsidRPr="00A61D80">
        <w:rPr>
          <w:rFonts w:ascii="Times New Roman" w:eastAsia="Times New Roman" w:hAnsi="Times New Roman" w:cs="Times New Roman"/>
          <w:b/>
          <w:snapToGrid w:val="0"/>
          <w:sz w:val="24"/>
          <w:szCs w:val="24"/>
          <w:lang w:eastAsia="ru-RU"/>
        </w:rPr>
        <w:t xml:space="preserve">Сообщение о подозреваемых нежелательных реакциях </w:t>
      </w:r>
    </w:p>
    <w:p w14:paraId="0DF4BF72" w14:textId="77777777" w:rsidR="00A61D80" w:rsidRPr="00A61D80" w:rsidRDefault="00A61D80" w:rsidP="00F602A1">
      <w:pPr>
        <w:spacing w:after="0" w:line="240" w:lineRule="auto"/>
        <w:ind w:right="283"/>
        <w:jc w:val="both"/>
        <w:rPr>
          <w:rFonts w:ascii="Times New Roman" w:eastAsia="Times New Roman" w:hAnsi="Times New Roman" w:cs="Times New Roman"/>
          <w:bCs/>
          <w:snapToGrid w:val="0"/>
          <w:sz w:val="24"/>
          <w:szCs w:val="24"/>
          <w:lang w:eastAsia="ru-RU"/>
        </w:rPr>
      </w:pPr>
      <w:r w:rsidRPr="00A61D80">
        <w:rPr>
          <w:rFonts w:ascii="Times New Roman" w:eastAsia="Times New Roman" w:hAnsi="Times New Roman" w:cs="Times New Roman"/>
          <w:bCs/>
          <w:snapToGrid w:val="0"/>
          <w:sz w:val="24"/>
          <w:szCs w:val="24"/>
          <w:lang w:eastAsia="ru-RU"/>
        </w:rPr>
        <w:t xml:space="preserve">Важно сообщать о подозреваемых нежелательных реакциях после регистрации ЛП с целью обеспечения непрерывного мониторинга соотношения «польза – риск» ЛП. Медицинским работникам рекомендуется сообщать о любых подозреваемых </w:t>
      </w:r>
      <w:r w:rsidRPr="00A61D80">
        <w:rPr>
          <w:rFonts w:ascii="Times New Roman" w:eastAsia="Times New Roman" w:hAnsi="Times New Roman" w:cs="Times New Roman"/>
          <w:bCs/>
          <w:snapToGrid w:val="0"/>
          <w:sz w:val="24"/>
          <w:szCs w:val="24"/>
          <w:lang w:eastAsia="ru-RU"/>
        </w:rPr>
        <w:lastRenderedPageBreak/>
        <w:t xml:space="preserve">нежелательных реакциях ЛП через национальную систему сообщения о нежелательных реакциях РК. </w:t>
      </w:r>
    </w:p>
    <w:p w14:paraId="01614226" w14:textId="77777777" w:rsidR="00A61D80" w:rsidRPr="00A61D80" w:rsidRDefault="00A61D80" w:rsidP="00F602A1">
      <w:pPr>
        <w:spacing w:after="0" w:line="240" w:lineRule="auto"/>
        <w:ind w:right="283"/>
        <w:jc w:val="both"/>
        <w:rPr>
          <w:rFonts w:ascii="Times New Roman" w:eastAsia="Times New Roman" w:hAnsi="Times New Roman" w:cs="Times New Roman"/>
          <w:bCs/>
          <w:snapToGrid w:val="0"/>
          <w:sz w:val="24"/>
          <w:szCs w:val="24"/>
          <w:lang w:val="kk-KZ" w:eastAsia="ru-RU"/>
        </w:rPr>
      </w:pPr>
      <w:r w:rsidRPr="00A61D80">
        <w:rPr>
          <w:rFonts w:ascii="Times New Roman" w:eastAsia="Times New Roman" w:hAnsi="Times New Roman" w:cs="Times New Roman"/>
          <w:bCs/>
          <w:snapToGrid w:val="0"/>
          <w:sz w:val="24"/>
          <w:szCs w:val="24"/>
          <w:lang w:eastAsia="ru-RU"/>
        </w:rPr>
        <w:t xml:space="preserve">РГП на ПХВ «Национальный Центр экспертизы лекарственных средств и медицинских изделий» </w:t>
      </w:r>
    </w:p>
    <w:p w14:paraId="0B335518" w14:textId="77777777" w:rsidR="00A61D80" w:rsidRPr="00A61D80" w:rsidRDefault="00FF29E5" w:rsidP="00F602A1">
      <w:pPr>
        <w:spacing w:after="0" w:line="240" w:lineRule="auto"/>
        <w:ind w:right="283"/>
        <w:jc w:val="both"/>
        <w:rPr>
          <w:rFonts w:ascii="Times New Roman" w:eastAsia="Times New Roman" w:hAnsi="Times New Roman" w:cs="Times New Roman"/>
          <w:bCs/>
          <w:snapToGrid w:val="0"/>
          <w:sz w:val="24"/>
          <w:szCs w:val="24"/>
          <w:lang w:eastAsia="ru-RU"/>
        </w:rPr>
      </w:pPr>
      <w:hyperlink r:id="rId5" w:history="1">
        <w:r w:rsidR="00A61D80" w:rsidRPr="00A61D80">
          <w:rPr>
            <w:rFonts w:ascii="Times New Roman" w:eastAsia="Times New Roman" w:hAnsi="Times New Roman" w:cs="Times New Roman"/>
            <w:bCs/>
            <w:snapToGrid w:val="0"/>
            <w:sz w:val="24"/>
            <w:szCs w:val="24"/>
            <w:u w:val="single"/>
            <w:lang w:eastAsia="ru-RU"/>
          </w:rPr>
          <w:t>http://www.ndda.kz</w:t>
        </w:r>
      </w:hyperlink>
    </w:p>
    <w:p w14:paraId="4B54306B" w14:textId="77777777" w:rsidR="00A61D80" w:rsidRPr="00A61D80" w:rsidRDefault="00A61D80" w:rsidP="00F602A1">
      <w:pPr>
        <w:spacing w:after="0" w:line="240" w:lineRule="auto"/>
        <w:ind w:right="283"/>
        <w:jc w:val="both"/>
        <w:rPr>
          <w:rFonts w:ascii="Times New Roman" w:eastAsia="Times New Roman" w:hAnsi="Times New Roman" w:cs="Times New Roman"/>
          <w:b/>
          <w:snapToGrid w:val="0"/>
          <w:sz w:val="24"/>
          <w:szCs w:val="24"/>
          <w:lang w:eastAsia="ru-RU"/>
        </w:rPr>
      </w:pPr>
    </w:p>
    <w:p w14:paraId="77D24EC6" w14:textId="77777777" w:rsidR="00A61D80" w:rsidRPr="00A61D80" w:rsidRDefault="00A61D80" w:rsidP="00F602A1">
      <w:pPr>
        <w:spacing w:after="0" w:line="240" w:lineRule="auto"/>
        <w:ind w:right="283"/>
        <w:jc w:val="both"/>
        <w:rPr>
          <w:rFonts w:ascii="Times New Roman" w:eastAsia="Times New Roman" w:hAnsi="Times New Roman" w:cs="Times New Roman"/>
          <w:b/>
          <w:snapToGrid w:val="0"/>
          <w:sz w:val="24"/>
          <w:szCs w:val="24"/>
          <w:lang w:eastAsia="ru-RU"/>
        </w:rPr>
      </w:pPr>
      <w:r w:rsidRPr="00A61D80">
        <w:rPr>
          <w:rFonts w:ascii="Times New Roman" w:eastAsia="Times New Roman" w:hAnsi="Times New Roman" w:cs="Times New Roman"/>
          <w:b/>
          <w:snapToGrid w:val="0"/>
          <w:sz w:val="24"/>
          <w:szCs w:val="24"/>
          <w:lang w:eastAsia="ru-RU"/>
        </w:rPr>
        <w:t xml:space="preserve">4.9 Передозировка </w:t>
      </w:r>
    </w:p>
    <w:p w14:paraId="5A24F89D" w14:textId="6CA978B3" w:rsidR="00A61D80" w:rsidRPr="00A61D80" w:rsidRDefault="00A61D80" w:rsidP="00F602A1">
      <w:pPr>
        <w:spacing w:after="0" w:line="240" w:lineRule="auto"/>
        <w:ind w:right="283"/>
        <w:jc w:val="both"/>
        <w:rPr>
          <w:rFonts w:ascii="Times New Roman" w:eastAsia="Times New Roman" w:hAnsi="Times New Roman" w:cs="Times New Roman"/>
          <w:bCs/>
          <w:snapToGrid w:val="0"/>
          <w:sz w:val="24"/>
          <w:szCs w:val="24"/>
          <w:lang w:eastAsia="ru-RU"/>
        </w:rPr>
      </w:pPr>
      <w:r w:rsidRPr="00A61D80">
        <w:rPr>
          <w:rFonts w:ascii="Times New Roman" w:eastAsia="Times New Roman" w:hAnsi="Times New Roman" w:cs="Times New Roman"/>
          <w:bCs/>
          <w:snapToGrid w:val="0"/>
          <w:sz w:val="24"/>
          <w:szCs w:val="24"/>
          <w:lang w:eastAsia="ru-RU"/>
        </w:rPr>
        <w:t xml:space="preserve">Имеются отдельные сообщения о случаях передозировки </w:t>
      </w:r>
      <w:proofErr w:type="spellStart"/>
      <w:r w:rsidR="00B01B09">
        <w:rPr>
          <w:rFonts w:ascii="Times New Roman" w:eastAsia="Times New Roman" w:hAnsi="Times New Roman" w:cs="Times New Roman"/>
          <w:bCs/>
          <w:snapToGrid w:val="0"/>
          <w:sz w:val="24"/>
          <w:szCs w:val="24"/>
          <w:lang w:eastAsia="ru-RU"/>
        </w:rPr>
        <w:t>летрозолом</w:t>
      </w:r>
      <w:proofErr w:type="spellEnd"/>
      <w:r w:rsidRPr="00A61D80">
        <w:rPr>
          <w:rFonts w:ascii="Times New Roman" w:eastAsia="Times New Roman" w:hAnsi="Times New Roman" w:cs="Times New Roman"/>
          <w:bCs/>
          <w:snapToGrid w:val="0"/>
          <w:sz w:val="24"/>
          <w:szCs w:val="24"/>
          <w:lang w:eastAsia="ru-RU"/>
        </w:rPr>
        <w:t xml:space="preserve">. </w:t>
      </w:r>
    </w:p>
    <w:p w14:paraId="57629472" w14:textId="77777777" w:rsidR="00A61D80" w:rsidRPr="00A61D80" w:rsidRDefault="00A61D80" w:rsidP="00F602A1">
      <w:pPr>
        <w:spacing w:after="0" w:line="240" w:lineRule="auto"/>
        <w:ind w:right="283"/>
        <w:jc w:val="both"/>
        <w:rPr>
          <w:rFonts w:ascii="Times New Roman" w:eastAsia="Times New Roman" w:hAnsi="Times New Roman" w:cs="Times New Roman"/>
          <w:bCs/>
          <w:snapToGrid w:val="0"/>
          <w:sz w:val="24"/>
          <w:szCs w:val="24"/>
          <w:lang w:eastAsia="ru-RU"/>
        </w:rPr>
      </w:pPr>
      <w:r w:rsidRPr="00A61D80">
        <w:rPr>
          <w:rFonts w:ascii="Times New Roman" w:eastAsia="Times New Roman" w:hAnsi="Times New Roman" w:cs="Times New Roman"/>
          <w:bCs/>
          <w:i/>
          <w:snapToGrid w:val="0"/>
          <w:sz w:val="24"/>
          <w:szCs w:val="24"/>
          <w:lang w:eastAsia="ru-RU"/>
        </w:rPr>
        <w:t>Лечение</w:t>
      </w:r>
      <w:r w:rsidRPr="00A61D80">
        <w:rPr>
          <w:rFonts w:ascii="Times New Roman" w:eastAsia="Times New Roman" w:hAnsi="Times New Roman" w:cs="Times New Roman"/>
          <w:bCs/>
          <w:snapToGrid w:val="0"/>
          <w:sz w:val="24"/>
          <w:szCs w:val="24"/>
          <w:lang w:eastAsia="ru-RU"/>
        </w:rPr>
        <w:t>: специфический антидот не известен. Показано проведение симптоматической и поддерживающей терапии.</w:t>
      </w:r>
    </w:p>
    <w:p w14:paraId="6D69CF0E" w14:textId="2A2F684B" w:rsidR="0041279B" w:rsidRPr="00AB23E2" w:rsidRDefault="00A72229" w:rsidP="00F602A1">
      <w:pPr>
        <w:spacing w:before="240" w:after="0" w:line="240" w:lineRule="auto"/>
        <w:ind w:right="283"/>
        <w:jc w:val="both"/>
        <w:rPr>
          <w:rFonts w:ascii="Times New Roman" w:hAnsi="Times New Roman" w:cs="Times New Roman"/>
          <w:b/>
          <w:sz w:val="24"/>
          <w:szCs w:val="24"/>
        </w:rPr>
      </w:pPr>
      <w:r w:rsidRPr="00AB23E2">
        <w:rPr>
          <w:rFonts w:ascii="Times New Roman" w:hAnsi="Times New Roman" w:cs="Times New Roman"/>
          <w:b/>
          <w:sz w:val="24"/>
          <w:szCs w:val="24"/>
        </w:rPr>
        <w:t>5. </w:t>
      </w:r>
      <w:r w:rsidR="00A72B6B">
        <w:rPr>
          <w:rFonts w:ascii="Times New Roman" w:hAnsi="Times New Roman" w:cs="Times New Roman"/>
          <w:b/>
          <w:sz w:val="24"/>
          <w:szCs w:val="24"/>
        </w:rPr>
        <w:t>ФАРМАКОЛОГИЧЕСКИЕ СВОЙСТВА</w:t>
      </w:r>
    </w:p>
    <w:p w14:paraId="0F392FBE" w14:textId="77777777" w:rsidR="0041279B" w:rsidRPr="00AB23E2" w:rsidRDefault="00A72229" w:rsidP="00F602A1">
      <w:pPr>
        <w:spacing w:after="0" w:line="240" w:lineRule="auto"/>
        <w:ind w:right="283"/>
        <w:jc w:val="both"/>
        <w:rPr>
          <w:rFonts w:ascii="Times New Roman" w:hAnsi="Times New Roman" w:cs="Times New Roman"/>
          <w:b/>
          <w:sz w:val="24"/>
          <w:szCs w:val="24"/>
        </w:rPr>
      </w:pPr>
      <w:r w:rsidRPr="00AB23E2">
        <w:rPr>
          <w:rFonts w:ascii="Times New Roman" w:hAnsi="Times New Roman" w:cs="Times New Roman"/>
          <w:b/>
          <w:sz w:val="24"/>
          <w:szCs w:val="24"/>
        </w:rPr>
        <w:t>5.1. Фармакодинамические свойства.</w:t>
      </w:r>
    </w:p>
    <w:p w14:paraId="3D89D712" w14:textId="77777777" w:rsidR="007E6425" w:rsidRPr="007E6425" w:rsidRDefault="007E6425" w:rsidP="00F602A1">
      <w:pPr>
        <w:spacing w:after="0" w:line="240" w:lineRule="auto"/>
        <w:ind w:right="283"/>
        <w:contextualSpacing/>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Фармакотерапевтическая группа: Эндокринная терапия. Гормонов антагонисты и их аналоги. Ароматазы ингибиторы. </w:t>
      </w:r>
      <w:proofErr w:type="spellStart"/>
      <w:r w:rsidRPr="007E6425">
        <w:rPr>
          <w:rFonts w:ascii="Times New Roman" w:eastAsia="Times New Roman" w:hAnsi="Times New Roman" w:cs="Times New Roman"/>
          <w:snapToGrid w:val="0"/>
          <w:sz w:val="24"/>
          <w:szCs w:val="24"/>
          <w:lang w:eastAsia="ru-RU"/>
        </w:rPr>
        <w:t>Летрозол</w:t>
      </w:r>
      <w:proofErr w:type="spellEnd"/>
      <w:r w:rsidRPr="007E6425">
        <w:rPr>
          <w:rFonts w:ascii="Times New Roman" w:eastAsia="Times New Roman" w:hAnsi="Times New Roman" w:cs="Times New Roman"/>
          <w:snapToGrid w:val="0"/>
          <w:sz w:val="24"/>
          <w:szCs w:val="24"/>
          <w:lang w:eastAsia="ru-RU"/>
        </w:rPr>
        <w:t>.</w:t>
      </w:r>
    </w:p>
    <w:p w14:paraId="6C0CA1C2" w14:textId="77777777" w:rsidR="007E6425" w:rsidRPr="007E6425" w:rsidRDefault="007E6425" w:rsidP="00F602A1">
      <w:pPr>
        <w:autoSpaceDE w:val="0"/>
        <w:autoSpaceDN w:val="0"/>
        <w:adjustRightInd w:val="0"/>
        <w:spacing w:after="0" w:line="240" w:lineRule="auto"/>
        <w:ind w:right="283"/>
        <w:contextualSpacing/>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Код АТХ L02BG04 </w:t>
      </w:r>
    </w:p>
    <w:p w14:paraId="3BA66F9C" w14:textId="77777777" w:rsidR="007E6425" w:rsidRPr="007E6425" w:rsidRDefault="007E6425" w:rsidP="00F602A1">
      <w:pPr>
        <w:spacing w:after="0" w:line="240" w:lineRule="auto"/>
        <w:ind w:right="283"/>
        <w:contextualSpacing/>
        <w:jc w:val="both"/>
        <w:rPr>
          <w:rFonts w:ascii="Times New Roman" w:eastAsia="Times New Roman" w:hAnsi="Times New Roman" w:cs="Times New Roman"/>
          <w:i/>
          <w:iCs/>
          <w:snapToGrid w:val="0"/>
          <w:sz w:val="24"/>
          <w:szCs w:val="24"/>
          <w:lang w:eastAsia="ru-RU"/>
        </w:rPr>
      </w:pPr>
      <w:r w:rsidRPr="007E6425">
        <w:rPr>
          <w:rFonts w:ascii="Times New Roman" w:eastAsia="Times New Roman" w:hAnsi="Times New Roman" w:cs="Times New Roman"/>
          <w:i/>
          <w:iCs/>
          <w:snapToGrid w:val="0"/>
          <w:sz w:val="24"/>
          <w:szCs w:val="24"/>
          <w:lang w:eastAsia="ru-RU"/>
        </w:rPr>
        <w:t>Механизм действия</w:t>
      </w:r>
    </w:p>
    <w:p w14:paraId="7B148F4E" w14:textId="28932325" w:rsidR="007E6425" w:rsidRPr="007E6425" w:rsidRDefault="004C0B5C" w:rsidP="00F602A1">
      <w:pPr>
        <w:spacing w:after="0" w:line="240" w:lineRule="auto"/>
        <w:ind w:right="283"/>
        <w:contextualSpacing/>
        <w:jc w:val="both"/>
        <w:rPr>
          <w:rFonts w:ascii="Times New Roman" w:eastAsia="Times New Roman" w:hAnsi="Times New Roman" w:cs="Times New Roman"/>
          <w:snapToGrid w:val="0"/>
          <w:spacing w:val="-4"/>
          <w:sz w:val="24"/>
          <w:szCs w:val="24"/>
          <w:lang w:eastAsia="ru-RU"/>
        </w:rPr>
      </w:pPr>
      <w:proofErr w:type="spellStart"/>
      <w:r>
        <w:rPr>
          <w:rFonts w:ascii="Times New Roman" w:eastAsia="Times New Roman" w:hAnsi="Times New Roman" w:cs="Times New Roman"/>
          <w:snapToGrid w:val="0"/>
          <w:sz w:val="24"/>
          <w:szCs w:val="24"/>
          <w:lang w:eastAsia="ru-RU"/>
        </w:rPr>
        <w:t>Летрозол</w:t>
      </w:r>
      <w:proofErr w:type="spellEnd"/>
      <w:r w:rsidR="007E6425" w:rsidRPr="007E6425">
        <w:rPr>
          <w:rFonts w:ascii="Times New Roman" w:eastAsia="Times New Roman" w:hAnsi="Times New Roman" w:cs="Times New Roman"/>
          <w:snapToGrid w:val="0"/>
          <w:sz w:val="24"/>
          <w:szCs w:val="24"/>
          <w:lang w:eastAsia="ru-RU"/>
        </w:rPr>
        <w:t xml:space="preserve"> – ингибирует активность ароматазы</w:t>
      </w:r>
      <w:r w:rsidR="007E6425" w:rsidRPr="007E6425">
        <w:rPr>
          <w:rFonts w:ascii="Times New Roman" w:eastAsia="Times New Roman" w:hAnsi="Times New Roman" w:cs="Times New Roman"/>
          <w:snapToGrid w:val="0"/>
          <w:spacing w:val="-4"/>
          <w:sz w:val="24"/>
          <w:szCs w:val="24"/>
          <w:lang w:eastAsia="ru-RU"/>
        </w:rPr>
        <w:t xml:space="preserve"> путем конкурентного связывания с субъединицей этого фермента - </w:t>
      </w:r>
      <w:proofErr w:type="spellStart"/>
      <w:r w:rsidR="007E6425" w:rsidRPr="007E6425">
        <w:rPr>
          <w:rFonts w:ascii="Times New Roman" w:eastAsia="Times New Roman" w:hAnsi="Times New Roman" w:cs="Times New Roman"/>
          <w:snapToGrid w:val="0"/>
          <w:spacing w:val="-4"/>
          <w:sz w:val="24"/>
          <w:szCs w:val="24"/>
          <w:lang w:eastAsia="ru-RU"/>
        </w:rPr>
        <w:t>гемом</w:t>
      </w:r>
      <w:proofErr w:type="spellEnd"/>
      <w:r w:rsidR="007E6425" w:rsidRPr="007E6425">
        <w:rPr>
          <w:rFonts w:ascii="Times New Roman" w:eastAsia="Times New Roman" w:hAnsi="Times New Roman" w:cs="Times New Roman"/>
          <w:snapToGrid w:val="0"/>
          <w:spacing w:val="-4"/>
          <w:sz w:val="24"/>
          <w:szCs w:val="24"/>
          <w:lang w:eastAsia="ru-RU"/>
        </w:rPr>
        <w:t xml:space="preserve"> цитохрома P450, что снижает синтез эстрогенов во всех тканях. </w:t>
      </w:r>
    </w:p>
    <w:p w14:paraId="5ECAA928" w14:textId="77777777" w:rsidR="007E6425" w:rsidRPr="007E6425" w:rsidRDefault="007E6425" w:rsidP="00F602A1">
      <w:pPr>
        <w:spacing w:after="0" w:line="240" w:lineRule="auto"/>
        <w:ind w:right="283"/>
        <w:contextualSpacing/>
        <w:jc w:val="both"/>
        <w:rPr>
          <w:rFonts w:ascii="Times New Roman" w:eastAsia="Times New Roman" w:hAnsi="Times New Roman" w:cs="Times New Roman"/>
          <w:i/>
          <w:iCs/>
          <w:snapToGrid w:val="0"/>
          <w:spacing w:val="-4"/>
          <w:sz w:val="24"/>
          <w:szCs w:val="24"/>
          <w:lang w:eastAsia="ru-RU"/>
        </w:rPr>
      </w:pPr>
      <w:r w:rsidRPr="007E6425">
        <w:rPr>
          <w:rFonts w:ascii="Times New Roman" w:eastAsia="Times New Roman" w:hAnsi="Times New Roman" w:cs="Times New Roman"/>
          <w:i/>
          <w:iCs/>
          <w:snapToGrid w:val="0"/>
          <w:sz w:val="24"/>
          <w:szCs w:val="24"/>
          <w:lang w:eastAsia="ru-RU"/>
        </w:rPr>
        <w:t>Фармакодинамические</w:t>
      </w:r>
      <w:r w:rsidRPr="007E6425">
        <w:rPr>
          <w:rFonts w:ascii="Times New Roman" w:eastAsia="Times New Roman" w:hAnsi="Times New Roman" w:cs="Times New Roman"/>
          <w:i/>
          <w:iCs/>
          <w:snapToGrid w:val="0"/>
          <w:spacing w:val="-4"/>
          <w:sz w:val="24"/>
          <w:szCs w:val="24"/>
          <w:lang w:eastAsia="ru-RU"/>
        </w:rPr>
        <w:t xml:space="preserve"> эффекты</w:t>
      </w:r>
    </w:p>
    <w:p w14:paraId="1FC84D42" w14:textId="77777777" w:rsidR="007E6425" w:rsidRPr="007E6425" w:rsidRDefault="007E6425" w:rsidP="00F602A1">
      <w:pPr>
        <w:spacing w:after="0" w:line="240" w:lineRule="auto"/>
        <w:ind w:right="283"/>
        <w:contextualSpacing/>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Устранение стимулирующего действия эстрогенов на рост опухоли является важнейшим фактором ответа опухоли в случаях, когда рост ткани опухоли зависит от присутствия эстрогенов и применяется гормональная терапия. У женщин в</w:t>
      </w:r>
      <w:r w:rsidRPr="007E6425">
        <w:rPr>
          <w:rFonts w:ascii="Times New Roman" w:eastAsia="TimesNewRoman" w:hAnsi="Times New Roman" w:cs="Times New Roman"/>
          <w:sz w:val="24"/>
          <w:szCs w:val="24"/>
          <w:lang w:eastAsia="ru-RU"/>
        </w:rPr>
        <w:t xml:space="preserve"> </w:t>
      </w:r>
      <w:r w:rsidRPr="007E6425">
        <w:rPr>
          <w:rFonts w:ascii="Times New Roman" w:eastAsia="Times New Roman" w:hAnsi="Times New Roman" w:cs="Times New Roman"/>
          <w:snapToGrid w:val="0"/>
          <w:sz w:val="24"/>
          <w:szCs w:val="24"/>
          <w:lang w:eastAsia="ru-RU"/>
        </w:rPr>
        <w:t xml:space="preserve">постменопаузе образование эстрогенов в основном опосредовано ароматазой, которая превращает андрогены надпочечников (в основном </w:t>
      </w:r>
      <w:proofErr w:type="spellStart"/>
      <w:r w:rsidRPr="007E6425">
        <w:rPr>
          <w:rFonts w:ascii="Times New Roman" w:eastAsia="Times New Roman" w:hAnsi="Times New Roman" w:cs="Times New Roman"/>
          <w:snapToGrid w:val="0"/>
          <w:sz w:val="24"/>
          <w:szCs w:val="24"/>
          <w:lang w:eastAsia="ru-RU"/>
        </w:rPr>
        <w:t>андростендион</w:t>
      </w:r>
      <w:proofErr w:type="spellEnd"/>
      <w:r w:rsidRPr="007E6425">
        <w:rPr>
          <w:rFonts w:ascii="Times New Roman" w:eastAsia="Times New Roman" w:hAnsi="Times New Roman" w:cs="Times New Roman"/>
          <w:snapToGrid w:val="0"/>
          <w:sz w:val="24"/>
          <w:szCs w:val="24"/>
          <w:lang w:eastAsia="ru-RU"/>
        </w:rPr>
        <w:t xml:space="preserve"> и тестостерон) в эстрон и эстрадиол. Торможение биосинтеза эстрогенов в периферических тканях и непосредственно в ткани раковой опухоли может быть достигнуто специфическим ингибированием ароматазы.</w:t>
      </w:r>
    </w:p>
    <w:p w14:paraId="62489BC4" w14:textId="0CD7E7C2" w:rsidR="007E6425" w:rsidRPr="007E6425" w:rsidRDefault="007E6425" w:rsidP="00F602A1">
      <w:pPr>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У здоровых женщин в постменопаузе однократная доза </w:t>
      </w:r>
      <w:proofErr w:type="spellStart"/>
      <w:r w:rsidR="004C0B5C">
        <w:rPr>
          <w:rFonts w:ascii="Times New Roman" w:eastAsia="Times New Roman" w:hAnsi="Times New Roman" w:cs="Times New Roman"/>
          <w:snapToGrid w:val="0"/>
          <w:sz w:val="24"/>
          <w:szCs w:val="24"/>
          <w:lang w:eastAsia="ru-RU"/>
        </w:rPr>
        <w:t>летрозола</w:t>
      </w:r>
      <w:proofErr w:type="spellEnd"/>
      <w:r w:rsidRPr="007E6425">
        <w:rPr>
          <w:rFonts w:ascii="Times New Roman" w:eastAsia="Times New Roman" w:hAnsi="Times New Roman" w:cs="Times New Roman"/>
          <w:snapToGrid w:val="0"/>
          <w:sz w:val="24"/>
          <w:szCs w:val="24"/>
          <w:lang w:eastAsia="ru-RU"/>
        </w:rPr>
        <w:t xml:space="preserve">, составляющая </w:t>
      </w:r>
      <w:r w:rsidR="00F602A1">
        <w:rPr>
          <w:rFonts w:ascii="Times New Roman" w:eastAsia="Times New Roman" w:hAnsi="Times New Roman" w:cs="Times New Roman"/>
          <w:snapToGrid w:val="0"/>
          <w:sz w:val="24"/>
          <w:szCs w:val="24"/>
          <w:lang w:eastAsia="ru-RU"/>
        </w:rPr>
        <w:t xml:space="preserve">      </w:t>
      </w:r>
      <w:r w:rsidRPr="007E6425">
        <w:rPr>
          <w:rFonts w:ascii="Times New Roman" w:eastAsia="Times New Roman" w:hAnsi="Times New Roman" w:cs="Times New Roman"/>
          <w:snapToGrid w:val="0"/>
          <w:sz w:val="24"/>
          <w:szCs w:val="24"/>
          <w:lang w:eastAsia="ru-RU"/>
        </w:rPr>
        <w:t>0,1</w:t>
      </w:r>
      <w:r w:rsidR="004C0B5C">
        <w:rPr>
          <w:rFonts w:ascii="Times New Roman" w:eastAsia="Times New Roman" w:hAnsi="Times New Roman" w:cs="Times New Roman"/>
          <w:snapToGrid w:val="0"/>
          <w:sz w:val="24"/>
          <w:szCs w:val="24"/>
          <w:lang w:eastAsia="ru-RU"/>
        </w:rPr>
        <w:t xml:space="preserve"> </w:t>
      </w:r>
      <w:r w:rsidRPr="007E6425">
        <w:rPr>
          <w:rFonts w:ascii="Times New Roman" w:eastAsia="Times New Roman" w:hAnsi="Times New Roman" w:cs="Times New Roman"/>
          <w:snapToGrid w:val="0"/>
          <w:sz w:val="24"/>
          <w:szCs w:val="24"/>
          <w:lang w:eastAsia="ru-RU"/>
        </w:rPr>
        <w:t>мг, 0,5</w:t>
      </w:r>
      <w:r w:rsidR="004C0B5C">
        <w:rPr>
          <w:rFonts w:ascii="Times New Roman" w:eastAsia="Times New Roman" w:hAnsi="Times New Roman" w:cs="Times New Roman"/>
          <w:snapToGrid w:val="0"/>
          <w:sz w:val="24"/>
          <w:szCs w:val="24"/>
          <w:lang w:eastAsia="ru-RU"/>
        </w:rPr>
        <w:t xml:space="preserve"> </w:t>
      </w:r>
      <w:r w:rsidRPr="007E6425">
        <w:rPr>
          <w:rFonts w:ascii="Times New Roman" w:eastAsia="Times New Roman" w:hAnsi="Times New Roman" w:cs="Times New Roman"/>
          <w:snapToGrid w:val="0"/>
          <w:sz w:val="24"/>
          <w:szCs w:val="24"/>
          <w:lang w:eastAsia="ru-RU"/>
        </w:rPr>
        <w:t>мг и 2,5 мг, снижает уровень эстрона и эстрадиола в сыворотке крови на 75-78% и 78%, соответственно. Максимальное снижение достигается через 48-78 часов.</w:t>
      </w:r>
    </w:p>
    <w:p w14:paraId="168C904A" w14:textId="059A5D1B" w:rsidR="007E6425" w:rsidRPr="007E6425" w:rsidRDefault="007E6425" w:rsidP="00F602A1">
      <w:pPr>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У женщин с распространенной формой рака молочной железы в постменопаузе ежедневный прием </w:t>
      </w:r>
      <w:proofErr w:type="spellStart"/>
      <w:r w:rsidR="004C0B5C">
        <w:rPr>
          <w:rFonts w:ascii="Times New Roman" w:eastAsia="Times New Roman" w:hAnsi="Times New Roman" w:cs="Times New Roman"/>
          <w:snapToGrid w:val="0"/>
          <w:sz w:val="24"/>
          <w:szCs w:val="24"/>
          <w:lang w:eastAsia="ru-RU"/>
        </w:rPr>
        <w:t>летрозола</w:t>
      </w:r>
      <w:proofErr w:type="spellEnd"/>
      <w:r w:rsidRPr="007E6425">
        <w:rPr>
          <w:rFonts w:ascii="Times New Roman" w:eastAsia="Times New Roman" w:hAnsi="Times New Roman" w:cs="Times New Roman"/>
          <w:snapToGrid w:val="0"/>
          <w:sz w:val="24"/>
          <w:szCs w:val="24"/>
          <w:lang w:eastAsia="ru-RU"/>
        </w:rPr>
        <w:t xml:space="preserve"> в дозе 0,1 - 5 мг приводит к снижению уровней эстрадиола, эстрона и эстрона сульфата в плазме крови на 75-95% от исходного уровня. При приеме препарата в дозе 0,5 мг и более во многих случаях концентрации эстрона и эстрона сульфата оказываются ниже порога чувствительности используемого метода определения гормонов. Это указывает на то, что при этих дозах препарата достигается более выраженное подавление синтеза эстрогенов. Подавление синтеза эстрогенов поддерживается на протяжении лечения у всех пациенток.</w:t>
      </w:r>
    </w:p>
    <w:p w14:paraId="29881172" w14:textId="1B5FE386" w:rsidR="007E6425" w:rsidRPr="007E6425" w:rsidRDefault="004C0B5C" w:rsidP="00F602A1">
      <w:pPr>
        <w:spacing w:after="0" w:line="240" w:lineRule="auto"/>
        <w:ind w:right="283"/>
        <w:jc w:val="both"/>
        <w:rPr>
          <w:rFonts w:ascii="Times New Roman" w:eastAsia="Times New Roman" w:hAnsi="Times New Roman" w:cs="Times New Roman"/>
          <w:snapToGrid w:val="0"/>
          <w:sz w:val="24"/>
          <w:szCs w:val="24"/>
          <w:lang w:eastAsia="ru-RU"/>
        </w:rPr>
      </w:pPr>
      <w:proofErr w:type="spellStart"/>
      <w:r>
        <w:rPr>
          <w:rFonts w:ascii="Times New Roman" w:eastAsia="Times New Roman" w:hAnsi="Times New Roman" w:cs="Times New Roman"/>
          <w:snapToGrid w:val="0"/>
          <w:sz w:val="24"/>
          <w:szCs w:val="24"/>
          <w:lang w:eastAsia="ru-RU"/>
        </w:rPr>
        <w:t>Летрозол</w:t>
      </w:r>
      <w:proofErr w:type="spellEnd"/>
      <w:r w:rsidR="007E6425" w:rsidRPr="007E6425">
        <w:rPr>
          <w:rFonts w:ascii="Times New Roman" w:eastAsia="Times New Roman" w:hAnsi="Times New Roman" w:cs="Times New Roman"/>
          <w:snapToGrid w:val="0"/>
          <w:sz w:val="24"/>
          <w:szCs w:val="24"/>
          <w:lang w:eastAsia="ru-RU"/>
        </w:rPr>
        <w:t xml:space="preserve"> - высокоспецифичный ингибитор активности ароматазы. Нарушения синтеза стероидных гормонов в надпочечниках - кортизола, альдостерона, 11-деоксикортизола, 17-гидроксипрогестерона, АКТГ, а также активности ренина не обнаружено, у пациенток в постменопаузе, получающих </w:t>
      </w:r>
      <w:proofErr w:type="spellStart"/>
      <w:r w:rsidR="007E6425" w:rsidRPr="007E6425">
        <w:rPr>
          <w:rFonts w:ascii="Times New Roman" w:eastAsia="Times New Roman" w:hAnsi="Times New Roman" w:cs="Times New Roman"/>
          <w:snapToGrid w:val="0"/>
          <w:sz w:val="24"/>
          <w:szCs w:val="24"/>
          <w:lang w:eastAsia="ru-RU"/>
        </w:rPr>
        <w:t>летрозол</w:t>
      </w:r>
      <w:proofErr w:type="spellEnd"/>
      <w:r w:rsidR="007E6425" w:rsidRPr="007E6425">
        <w:rPr>
          <w:rFonts w:ascii="Times New Roman" w:eastAsia="Times New Roman" w:hAnsi="Times New Roman" w:cs="Times New Roman"/>
          <w:snapToGrid w:val="0"/>
          <w:sz w:val="24"/>
          <w:szCs w:val="24"/>
          <w:lang w:eastAsia="ru-RU"/>
        </w:rPr>
        <w:t xml:space="preserve"> ежедневно в дозах от 0,1 до 5 мг.  Проведение теста стимуляции с АКТГ через 6 и 12 недель лечения </w:t>
      </w:r>
      <w:proofErr w:type="spellStart"/>
      <w:r>
        <w:rPr>
          <w:rFonts w:ascii="Times New Roman" w:eastAsia="Times New Roman" w:hAnsi="Times New Roman" w:cs="Times New Roman"/>
          <w:snapToGrid w:val="0"/>
          <w:sz w:val="24"/>
          <w:szCs w:val="24"/>
          <w:lang w:eastAsia="ru-RU"/>
        </w:rPr>
        <w:t>летрозолом</w:t>
      </w:r>
      <w:proofErr w:type="spellEnd"/>
      <w:r w:rsidR="007E6425" w:rsidRPr="007E6425">
        <w:rPr>
          <w:rFonts w:ascii="Times New Roman" w:eastAsia="Times New Roman" w:hAnsi="Times New Roman" w:cs="Times New Roman"/>
          <w:snapToGrid w:val="0"/>
          <w:sz w:val="24"/>
          <w:szCs w:val="24"/>
          <w:lang w:eastAsia="ru-RU"/>
        </w:rPr>
        <w:t xml:space="preserve"> в суточной дозе 0,1; 0,25; 0,5; 1; 2,5 и 5 мг не выявило заметного уменьшения синтеза альдостерона или кортизола. Таким образом, нет необходимости в дополнительном введении глюкокортикоидов и </w:t>
      </w:r>
      <w:proofErr w:type="spellStart"/>
      <w:r w:rsidR="007E6425" w:rsidRPr="007E6425">
        <w:rPr>
          <w:rFonts w:ascii="Times New Roman" w:eastAsia="Times New Roman" w:hAnsi="Times New Roman" w:cs="Times New Roman"/>
          <w:snapToGrid w:val="0"/>
          <w:sz w:val="24"/>
          <w:szCs w:val="24"/>
          <w:lang w:eastAsia="ru-RU"/>
        </w:rPr>
        <w:t>минералокортикоидов</w:t>
      </w:r>
      <w:proofErr w:type="spellEnd"/>
      <w:r w:rsidR="007E6425" w:rsidRPr="007E6425">
        <w:rPr>
          <w:rFonts w:ascii="Times New Roman" w:eastAsia="Times New Roman" w:hAnsi="Times New Roman" w:cs="Times New Roman"/>
          <w:snapToGrid w:val="0"/>
          <w:sz w:val="24"/>
          <w:szCs w:val="24"/>
          <w:lang w:eastAsia="ru-RU"/>
        </w:rPr>
        <w:t xml:space="preserve">. </w:t>
      </w:r>
    </w:p>
    <w:p w14:paraId="6411FC7B" w14:textId="794242EA" w:rsidR="007E6425" w:rsidRPr="007E6425" w:rsidRDefault="007E6425" w:rsidP="00F602A1">
      <w:pPr>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Не обнаружено изменений концентрации андрогенов (</w:t>
      </w:r>
      <w:proofErr w:type="spellStart"/>
      <w:r w:rsidRPr="007E6425">
        <w:rPr>
          <w:rFonts w:ascii="Times New Roman" w:eastAsia="Times New Roman" w:hAnsi="Times New Roman" w:cs="Times New Roman"/>
          <w:snapToGrid w:val="0"/>
          <w:sz w:val="24"/>
          <w:szCs w:val="24"/>
          <w:lang w:eastAsia="ru-RU"/>
        </w:rPr>
        <w:t>андростендиона</w:t>
      </w:r>
      <w:proofErr w:type="spellEnd"/>
      <w:r w:rsidRPr="007E6425">
        <w:rPr>
          <w:rFonts w:ascii="Times New Roman" w:eastAsia="Times New Roman" w:hAnsi="Times New Roman" w:cs="Times New Roman"/>
          <w:snapToGrid w:val="0"/>
          <w:sz w:val="24"/>
          <w:szCs w:val="24"/>
          <w:lang w:eastAsia="ru-RU"/>
        </w:rPr>
        <w:t xml:space="preserve"> и тестостерона) плазмы у здоровых женщин в постменопаузе после однократного введения 0,1 </w:t>
      </w:r>
      <w:proofErr w:type="gramStart"/>
      <w:r w:rsidRPr="007E6425">
        <w:rPr>
          <w:rFonts w:ascii="Times New Roman" w:eastAsia="Times New Roman" w:hAnsi="Times New Roman" w:cs="Times New Roman"/>
          <w:snapToGrid w:val="0"/>
          <w:sz w:val="24"/>
          <w:szCs w:val="24"/>
          <w:lang w:eastAsia="ru-RU"/>
        </w:rPr>
        <w:t xml:space="preserve">мг, </w:t>
      </w:r>
      <w:r w:rsidR="00F602A1">
        <w:rPr>
          <w:rFonts w:ascii="Times New Roman" w:eastAsia="Times New Roman" w:hAnsi="Times New Roman" w:cs="Times New Roman"/>
          <w:snapToGrid w:val="0"/>
          <w:sz w:val="24"/>
          <w:szCs w:val="24"/>
          <w:lang w:eastAsia="ru-RU"/>
        </w:rPr>
        <w:t xml:space="preserve">  </w:t>
      </w:r>
      <w:proofErr w:type="gramEnd"/>
      <w:r w:rsidR="00F602A1">
        <w:rPr>
          <w:rFonts w:ascii="Times New Roman" w:eastAsia="Times New Roman" w:hAnsi="Times New Roman" w:cs="Times New Roman"/>
          <w:snapToGrid w:val="0"/>
          <w:sz w:val="24"/>
          <w:szCs w:val="24"/>
          <w:lang w:eastAsia="ru-RU"/>
        </w:rPr>
        <w:t xml:space="preserve">   </w:t>
      </w:r>
      <w:r w:rsidRPr="007E6425">
        <w:rPr>
          <w:rFonts w:ascii="Times New Roman" w:eastAsia="Times New Roman" w:hAnsi="Times New Roman" w:cs="Times New Roman"/>
          <w:snapToGrid w:val="0"/>
          <w:sz w:val="24"/>
          <w:szCs w:val="24"/>
          <w:lang w:eastAsia="ru-RU"/>
        </w:rPr>
        <w:t xml:space="preserve">0,5 мг и 2,5 мг </w:t>
      </w:r>
      <w:proofErr w:type="spellStart"/>
      <w:r w:rsidRPr="007E6425">
        <w:rPr>
          <w:rFonts w:ascii="Times New Roman" w:eastAsia="Times New Roman" w:hAnsi="Times New Roman" w:cs="Times New Roman"/>
          <w:snapToGrid w:val="0"/>
          <w:sz w:val="24"/>
          <w:szCs w:val="24"/>
          <w:lang w:eastAsia="ru-RU"/>
        </w:rPr>
        <w:t>летрозола</w:t>
      </w:r>
      <w:proofErr w:type="spellEnd"/>
      <w:r w:rsidRPr="007E6425">
        <w:rPr>
          <w:rFonts w:ascii="Times New Roman" w:eastAsia="Times New Roman" w:hAnsi="Times New Roman" w:cs="Times New Roman"/>
          <w:snapToGrid w:val="0"/>
          <w:sz w:val="24"/>
          <w:szCs w:val="24"/>
          <w:lang w:eastAsia="ru-RU"/>
        </w:rPr>
        <w:t xml:space="preserve">, а также концентраций </w:t>
      </w:r>
      <w:proofErr w:type="spellStart"/>
      <w:r w:rsidRPr="007E6425">
        <w:rPr>
          <w:rFonts w:ascii="Times New Roman" w:eastAsia="Times New Roman" w:hAnsi="Times New Roman" w:cs="Times New Roman"/>
          <w:snapToGrid w:val="0"/>
          <w:sz w:val="24"/>
          <w:szCs w:val="24"/>
          <w:lang w:eastAsia="ru-RU"/>
        </w:rPr>
        <w:t>андростендиона</w:t>
      </w:r>
      <w:proofErr w:type="spellEnd"/>
      <w:r w:rsidRPr="007E6425">
        <w:rPr>
          <w:rFonts w:ascii="Times New Roman" w:eastAsia="Times New Roman" w:hAnsi="Times New Roman" w:cs="Times New Roman"/>
          <w:snapToGrid w:val="0"/>
          <w:sz w:val="24"/>
          <w:szCs w:val="24"/>
          <w:lang w:eastAsia="ru-RU"/>
        </w:rPr>
        <w:t xml:space="preserve"> в плазме пациенток в постменопаузе, получающих ежедневно дозы от 0,1 мг до 0,5 мг, что указывает на </w:t>
      </w:r>
      <w:r w:rsidRPr="007E6425">
        <w:rPr>
          <w:rFonts w:ascii="Times New Roman" w:eastAsia="Times New Roman" w:hAnsi="Times New Roman" w:cs="Times New Roman"/>
          <w:snapToGrid w:val="0"/>
          <w:sz w:val="24"/>
          <w:szCs w:val="24"/>
          <w:lang w:eastAsia="ru-RU"/>
        </w:rPr>
        <w:lastRenderedPageBreak/>
        <w:t xml:space="preserve">отсутствие накопления предшественников андрогенов при блокаде биосинтеза эстрогенов. </w:t>
      </w:r>
    </w:p>
    <w:p w14:paraId="210FF21F" w14:textId="079580F0" w:rsidR="007E6425" w:rsidRPr="007E6425" w:rsidRDefault="007E6425" w:rsidP="00F602A1">
      <w:pPr>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При применении </w:t>
      </w:r>
      <w:proofErr w:type="spellStart"/>
      <w:r w:rsidR="004C0B5C">
        <w:rPr>
          <w:rFonts w:ascii="Times New Roman" w:eastAsia="Times New Roman" w:hAnsi="Times New Roman" w:cs="Times New Roman"/>
          <w:snapToGrid w:val="0"/>
          <w:sz w:val="24"/>
          <w:szCs w:val="24"/>
          <w:lang w:eastAsia="ru-RU"/>
        </w:rPr>
        <w:t>летрозола</w:t>
      </w:r>
      <w:proofErr w:type="spellEnd"/>
      <w:r w:rsidR="004C0B5C">
        <w:rPr>
          <w:rFonts w:ascii="Times New Roman" w:eastAsia="Times New Roman" w:hAnsi="Times New Roman" w:cs="Times New Roman"/>
          <w:snapToGrid w:val="0"/>
          <w:sz w:val="24"/>
          <w:szCs w:val="24"/>
          <w:lang w:eastAsia="ru-RU"/>
        </w:rPr>
        <w:t xml:space="preserve"> </w:t>
      </w:r>
      <w:r w:rsidRPr="007E6425">
        <w:rPr>
          <w:rFonts w:ascii="Times New Roman" w:eastAsia="Times New Roman" w:hAnsi="Times New Roman" w:cs="Times New Roman"/>
          <w:snapToGrid w:val="0"/>
          <w:sz w:val="24"/>
          <w:szCs w:val="24"/>
          <w:lang w:eastAsia="ru-RU"/>
        </w:rPr>
        <w:t>блокада биосинтеза эстрогенов не приводит к накоплению андрогенов (</w:t>
      </w:r>
      <w:proofErr w:type="spellStart"/>
      <w:r w:rsidRPr="007E6425">
        <w:rPr>
          <w:rFonts w:ascii="Times New Roman" w:eastAsia="Times New Roman" w:hAnsi="Times New Roman" w:cs="Times New Roman"/>
          <w:snapToGrid w:val="0"/>
          <w:sz w:val="24"/>
          <w:szCs w:val="24"/>
          <w:lang w:eastAsia="ru-RU"/>
        </w:rPr>
        <w:t>андростендиона</w:t>
      </w:r>
      <w:proofErr w:type="spellEnd"/>
      <w:r w:rsidRPr="007E6425">
        <w:rPr>
          <w:rFonts w:ascii="Times New Roman" w:eastAsia="Times New Roman" w:hAnsi="Times New Roman" w:cs="Times New Roman"/>
          <w:snapToGrid w:val="0"/>
          <w:sz w:val="24"/>
          <w:szCs w:val="24"/>
          <w:lang w:eastAsia="ru-RU"/>
        </w:rPr>
        <w:t xml:space="preserve"> и тестостерона), являющихся предшественниками эстрогенов. У пациенток, принимающих </w:t>
      </w:r>
      <w:proofErr w:type="spellStart"/>
      <w:r w:rsidR="004C0B5C">
        <w:rPr>
          <w:rFonts w:ascii="Times New Roman" w:eastAsia="Times New Roman" w:hAnsi="Times New Roman" w:cs="Times New Roman"/>
          <w:snapToGrid w:val="0"/>
          <w:sz w:val="24"/>
          <w:szCs w:val="24"/>
          <w:lang w:eastAsia="ru-RU"/>
        </w:rPr>
        <w:t>летрозол</w:t>
      </w:r>
      <w:proofErr w:type="spellEnd"/>
      <w:r w:rsidRPr="007E6425">
        <w:rPr>
          <w:rFonts w:ascii="Times New Roman" w:eastAsia="Times New Roman" w:hAnsi="Times New Roman" w:cs="Times New Roman"/>
          <w:snapToGrid w:val="0"/>
          <w:sz w:val="24"/>
          <w:szCs w:val="24"/>
          <w:lang w:eastAsia="ru-RU"/>
        </w:rPr>
        <w:t xml:space="preserve">, не изменяется концентрация </w:t>
      </w:r>
      <w:proofErr w:type="spellStart"/>
      <w:r w:rsidRPr="007E6425">
        <w:rPr>
          <w:rFonts w:ascii="Times New Roman" w:eastAsia="Times New Roman" w:hAnsi="Times New Roman" w:cs="Times New Roman"/>
          <w:snapToGrid w:val="0"/>
          <w:sz w:val="24"/>
          <w:szCs w:val="24"/>
          <w:lang w:eastAsia="ru-RU"/>
        </w:rPr>
        <w:t>лютеинизирующего</w:t>
      </w:r>
      <w:proofErr w:type="spellEnd"/>
      <w:r w:rsidRPr="007E6425">
        <w:rPr>
          <w:rFonts w:ascii="Times New Roman" w:eastAsia="Times New Roman" w:hAnsi="Times New Roman" w:cs="Times New Roman"/>
          <w:snapToGrid w:val="0"/>
          <w:sz w:val="24"/>
          <w:szCs w:val="24"/>
          <w:lang w:eastAsia="ru-RU"/>
        </w:rPr>
        <w:t xml:space="preserve"> и фолликулостимулирующего гормонов в плазме крови, а также не изменяется функция щитовидной железы, которую оценивают по уровням тиреотропного гормона, T</w:t>
      </w:r>
      <w:r w:rsidRPr="007E6425">
        <w:rPr>
          <w:rFonts w:ascii="Times New Roman" w:eastAsia="Times New Roman" w:hAnsi="Times New Roman" w:cs="Times New Roman"/>
          <w:snapToGrid w:val="0"/>
          <w:sz w:val="24"/>
          <w:szCs w:val="24"/>
          <w:vertAlign w:val="subscript"/>
          <w:lang w:eastAsia="ru-RU"/>
        </w:rPr>
        <w:t>4</w:t>
      </w:r>
      <w:r w:rsidRPr="007E6425">
        <w:rPr>
          <w:rFonts w:ascii="Times New Roman" w:eastAsia="Times New Roman" w:hAnsi="Times New Roman" w:cs="Times New Roman"/>
          <w:snapToGrid w:val="0"/>
          <w:sz w:val="24"/>
          <w:szCs w:val="24"/>
          <w:lang w:eastAsia="ru-RU"/>
        </w:rPr>
        <w:t xml:space="preserve"> и T</w:t>
      </w:r>
      <w:r w:rsidRPr="007E6425">
        <w:rPr>
          <w:rFonts w:ascii="Times New Roman" w:eastAsia="Times New Roman" w:hAnsi="Times New Roman" w:cs="Times New Roman"/>
          <w:snapToGrid w:val="0"/>
          <w:sz w:val="24"/>
          <w:szCs w:val="24"/>
          <w:vertAlign w:val="subscript"/>
          <w:lang w:eastAsia="ru-RU"/>
        </w:rPr>
        <w:t>3</w:t>
      </w:r>
      <w:r w:rsidRPr="007E6425">
        <w:rPr>
          <w:rFonts w:ascii="Times New Roman" w:eastAsia="Times New Roman" w:hAnsi="Times New Roman" w:cs="Times New Roman"/>
          <w:snapToGrid w:val="0"/>
          <w:sz w:val="24"/>
          <w:szCs w:val="24"/>
          <w:lang w:eastAsia="ru-RU"/>
        </w:rPr>
        <w:t>.</w:t>
      </w:r>
    </w:p>
    <w:p w14:paraId="7BC85744" w14:textId="77777777" w:rsidR="007E6425" w:rsidRPr="007E6425" w:rsidRDefault="007E6425" w:rsidP="00F602A1">
      <w:pPr>
        <w:spacing w:after="0" w:line="240" w:lineRule="auto"/>
        <w:ind w:right="283"/>
        <w:jc w:val="both"/>
        <w:rPr>
          <w:rFonts w:ascii="Times New Roman" w:eastAsia="Times New Roman" w:hAnsi="Times New Roman" w:cs="Times New Roman"/>
          <w:i/>
          <w:iCs/>
          <w:snapToGrid w:val="0"/>
          <w:sz w:val="24"/>
          <w:szCs w:val="24"/>
          <w:lang w:eastAsia="ru-RU"/>
        </w:rPr>
      </w:pPr>
      <w:r w:rsidRPr="007E6425">
        <w:rPr>
          <w:rFonts w:ascii="Times New Roman" w:eastAsia="Times New Roman" w:hAnsi="Times New Roman" w:cs="Times New Roman"/>
          <w:i/>
          <w:iCs/>
          <w:snapToGrid w:val="0"/>
          <w:sz w:val="24"/>
          <w:szCs w:val="24"/>
          <w:lang w:eastAsia="ru-RU"/>
        </w:rPr>
        <w:t>Клиническая эффективность и безопасность</w:t>
      </w:r>
    </w:p>
    <w:p w14:paraId="4FC8BAE5"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i/>
          <w:snapToGrid w:val="0"/>
          <w:sz w:val="24"/>
          <w:szCs w:val="24"/>
          <w:u w:val="single"/>
          <w:lang w:eastAsia="ru-RU"/>
        </w:rPr>
      </w:pPr>
      <w:proofErr w:type="spellStart"/>
      <w:r w:rsidRPr="007E6425">
        <w:rPr>
          <w:rFonts w:ascii="Times New Roman" w:eastAsia="Times New Roman" w:hAnsi="Times New Roman" w:cs="Times New Roman"/>
          <w:i/>
          <w:snapToGrid w:val="0"/>
          <w:sz w:val="24"/>
          <w:szCs w:val="24"/>
          <w:u w:val="single"/>
          <w:lang w:eastAsia="ru-RU"/>
        </w:rPr>
        <w:t>Адъювантная</w:t>
      </w:r>
      <w:proofErr w:type="spellEnd"/>
      <w:r w:rsidRPr="007E6425">
        <w:rPr>
          <w:rFonts w:ascii="Times New Roman" w:eastAsia="Times New Roman" w:hAnsi="Times New Roman" w:cs="Times New Roman"/>
          <w:i/>
          <w:snapToGrid w:val="0"/>
          <w:sz w:val="24"/>
          <w:szCs w:val="24"/>
          <w:u w:val="single"/>
          <w:lang w:eastAsia="ru-RU"/>
        </w:rPr>
        <w:t xml:space="preserve"> терапия </w:t>
      </w:r>
    </w:p>
    <w:p w14:paraId="62B6D24F"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i/>
          <w:iCs/>
          <w:snapToGrid w:val="0"/>
          <w:sz w:val="24"/>
          <w:szCs w:val="24"/>
          <w:lang w:eastAsia="ru-RU"/>
        </w:rPr>
      </w:pPr>
      <w:r w:rsidRPr="007E6425">
        <w:rPr>
          <w:rFonts w:ascii="Times New Roman" w:eastAsia="Times New Roman" w:hAnsi="Times New Roman" w:cs="Times New Roman"/>
          <w:i/>
          <w:iCs/>
          <w:snapToGrid w:val="0"/>
          <w:sz w:val="24"/>
          <w:szCs w:val="24"/>
          <w:lang w:eastAsia="ru-RU"/>
        </w:rPr>
        <w:t>Исследование BIG 1-98</w:t>
      </w:r>
    </w:p>
    <w:p w14:paraId="1AAF08DA"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Для многоцентрового двойного слепого исследования BIG 1-98 более 8000 женщин в постменопаузе на ранней стадии гормон-рецептор-позитивного рака молочной железы, были рандомизированы в следующие группы: </w:t>
      </w:r>
    </w:p>
    <w:p w14:paraId="47F3591A"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А. Тамоксифен в течение 5 лет. </w:t>
      </w:r>
    </w:p>
    <w:p w14:paraId="5DAE2657"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Б. </w:t>
      </w:r>
      <w:proofErr w:type="spellStart"/>
      <w:r w:rsidRPr="007E6425">
        <w:rPr>
          <w:rFonts w:ascii="Times New Roman" w:eastAsia="Times New Roman" w:hAnsi="Times New Roman" w:cs="Times New Roman"/>
          <w:snapToGrid w:val="0"/>
          <w:sz w:val="24"/>
          <w:szCs w:val="24"/>
          <w:lang w:eastAsia="ru-RU"/>
        </w:rPr>
        <w:t>Летрозол</w:t>
      </w:r>
      <w:proofErr w:type="spellEnd"/>
      <w:r w:rsidRPr="007E6425">
        <w:rPr>
          <w:rFonts w:ascii="Times New Roman" w:eastAsia="Times New Roman" w:hAnsi="Times New Roman" w:cs="Times New Roman"/>
          <w:snapToGrid w:val="0"/>
          <w:sz w:val="24"/>
          <w:szCs w:val="24"/>
          <w:lang w:eastAsia="ru-RU"/>
        </w:rPr>
        <w:t xml:space="preserve"> в течение 5 лет. </w:t>
      </w:r>
    </w:p>
    <w:p w14:paraId="7D01C705"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В. Тамоксифен в течение 2 лет, а затем </w:t>
      </w:r>
      <w:proofErr w:type="spellStart"/>
      <w:r w:rsidRPr="007E6425">
        <w:rPr>
          <w:rFonts w:ascii="Times New Roman" w:eastAsia="Times New Roman" w:hAnsi="Times New Roman" w:cs="Times New Roman"/>
          <w:snapToGrid w:val="0"/>
          <w:sz w:val="24"/>
          <w:szCs w:val="24"/>
          <w:lang w:eastAsia="ru-RU"/>
        </w:rPr>
        <w:t>летрозол</w:t>
      </w:r>
      <w:proofErr w:type="spellEnd"/>
      <w:r w:rsidRPr="007E6425">
        <w:rPr>
          <w:rFonts w:ascii="Times New Roman" w:eastAsia="Times New Roman" w:hAnsi="Times New Roman" w:cs="Times New Roman"/>
          <w:snapToGrid w:val="0"/>
          <w:sz w:val="24"/>
          <w:szCs w:val="24"/>
          <w:lang w:eastAsia="ru-RU"/>
        </w:rPr>
        <w:t xml:space="preserve"> в течение 3 лет. </w:t>
      </w:r>
    </w:p>
    <w:p w14:paraId="483D0ED7"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Г. </w:t>
      </w:r>
      <w:proofErr w:type="spellStart"/>
      <w:r w:rsidRPr="007E6425">
        <w:rPr>
          <w:rFonts w:ascii="Times New Roman" w:eastAsia="Times New Roman" w:hAnsi="Times New Roman" w:cs="Times New Roman"/>
          <w:snapToGrid w:val="0"/>
          <w:sz w:val="24"/>
          <w:szCs w:val="24"/>
          <w:lang w:eastAsia="ru-RU"/>
        </w:rPr>
        <w:t>Летрозол</w:t>
      </w:r>
      <w:proofErr w:type="spellEnd"/>
      <w:r w:rsidRPr="007E6425">
        <w:rPr>
          <w:rFonts w:ascii="Times New Roman" w:eastAsia="Times New Roman" w:hAnsi="Times New Roman" w:cs="Times New Roman"/>
          <w:snapToGrid w:val="0"/>
          <w:sz w:val="24"/>
          <w:szCs w:val="24"/>
          <w:lang w:eastAsia="ru-RU"/>
        </w:rPr>
        <w:t xml:space="preserve"> в течение 2 лет, а затем тамоксифен в течение 3 лет. </w:t>
      </w:r>
    </w:p>
    <w:p w14:paraId="696F2A0A"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Первичной конечной точкой </w:t>
      </w:r>
      <w:proofErr w:type="spellStart"/>
      <w:r w:rsidRPr="007E6425">
        <w:rPr>
          <w:rFonts w:ascii="Times New Roman" w:eastAsia="Times New Roman" w:hAnsi="Times New Roman" w:cs="Times New Roman"/>
          <w:snapToGrid w:val="0"/>
          <w:sz w:val="24"/>
          <w:szCs w:val="24"/>
          <w:lang w:eastAsia="ru-RU"/>
        </w:rPr>
        <w:t>исcледования</w:t>
      </w:r>
      <w:proofErr w:type="spellEnd"/>
      <w:r w:rsidRPr="007E6425">
        <w:rPr>
          <w:rFonts w:ascii="Times New Roman" w:eastAsia="Times New Roman" w:hAnsi="Times New Roman" w:cs="Times New Roman"/>
          <w:snapToGrid w:val="0"/>
          <w:sz w:val="24"/>
          <w:szCs w:val="24"/>
          <w:lang w:eastAsia="ru-RU"/>
        </w:rPr>
        <w:t xml:space="preserve"> был срок выживания до рецидива (ВДР). Вторичными точками являлись время до развития отдаленного метастаза (ВОМ), отдаленное выживание без заболевания (ОВБЗ), общее выживание (ОВ), системное выживание без заболевания (СВБЗ), развития инвазивного рака в контралатеральной молочной железе и время до развития рецидива.</w:t>
      </w:r>
    </w:p>
    <w:p w14:paraId="68ACBCF6"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i/>
          <w:snapToGrid w:val="0"/>
          <w:sz w:val="24"/>
          <w:szCs w:val="24"/>
          <w:lang w:eastAsia="ru-RU"/>
        </w:rPr>
      </w:pPr>
      <w:r w:rsidRPr="007E6425">
        <w:rPr>
          <w:rFonts w:ascii="Times New Roman" w:eastAsia="Times New Roman" w:hAnsi="Times New Roman" w:cs="Times New Roman"/>
          <w:i/>
          <w:snapToGrid w:val="0"/>
          <w:sz w:val="24"/>
          <w:szCs w:val="24"/>
          <w:lang w:eastAsia="ru-RU"/>
        </w:rPr>
        <w:t>Результаты эффективности при медиане времени наблюдения 26 и 60 месяцев</w:t>
      </w:r>
    </w:p>
    <w:p w14:paraId="45DA28D2"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Данные Таблицы 4 представляют результаты первичного основного анализа (</w:t>
      </w:r>
      <w:proofErr w:type="spellStart"/>
      <w:r w:rsidRPr="007E6425">
        <w:rPr>
          <w:rFonts w:ascii="Times New Roman" w:eastAsia="Times New Roman" w:hAnsi="Times New Roman" w:cs="Times New Roman"/>
          <w:snapToGrid w:val="0"/>
          <w:sz w:val="24"/>
          <w:szCs w:val="24"/>
          <w:lang w:eastAsia="ru-RU"/>
        </w:rPr>
        <w:t>Primary</w:t>
      </w:r>
      <w:proofErr w:type="spellEnd"/>
      <w:r w:rsidRPr="007E6425">
        <w:rPr>
          <w:rFonts w:ascii="Times New Roman" w:eastAsia="Times New Roman" w:hAnsi="Times New Roman" w:cs="Times New Roman"/>
          <w:snapToGrid w:val="0"/>
          <w:sz w:val="24"/>
          <w:szCs w:val="24"/>
          <w:lang w:eastAsia="ru-RU"/>
        </w:rPr>
        <w:t xml:space="preserve"> </w:t>
      </w:r>
      <w:proofErr w:type="spellStart"/>
      <w:r w:rsidRPr="007E6425">
        <w:rPr>
          <w:rFonts w:ascii="Times New Roman" w:eastAsia="Times New Roman" w:hAnsi="Times New Roman" w:cs="Times New Roman"/>
          <w:snapToGrid w:val="0"/>
          <w:sz w:val="24"/>
          <w:szCs w:val="24"/>
          <w:lang w:eastAsia="ru-RU"/>
        </w:rPr>
        <w:t>Core</w:t>
      </w:r>
      <w:proofErr w:type="spellEnd"/>
      <w:r w:rsidRPr="007E6425">
        <w:rPr>
          <w:rFonts w:ascii="Times New Roman" w:eastAsia="Times New Roman" w:hAnsi="Times New Roman" w:cs="Times New Roman"/>
          <w:snapToGrid w:val="0"/>
          <w:sz w:val="24"/>
          <w:szCs w:val="24"/>
          <w:lang w:eastAsia="ru-RU"/>
        </w:rPr>
        <w:t xml:space="preserve"> </w:t>
      </w:r>
      <w:proofErr w:type="spellStart"/>
      <w:r w:rsidRPr="007E6425">
        <w:rPr>
          <w:rFonts w:ascii="Times New Roman" w:eastAsia="Times New Roman" w:hAnsi="Times New Roman" w:cs="Times New Roman"/>
          <w:snapToGrid w:val="0"/>
          <w:sz w:val="24"/>
          <w:szCs w:val="24"/>
          <w:lang w:eastAsia="ru-RU"/>
        </w:rPr>
        <w:t>Analysis</w:t>
      </w:r>
      <w:proofErr w:type="spellEnd"/>
      <w:r w:rsidRPr="007E6425">
        <w:rPr>
          <w:rFonts w:ascii="Times New Roman" w:eastAsia="Times New Roman" w:hAnsi="Times New Roman" w:cs="Times New Roman"/>
          <w:snapToGrid w:val="0"/>
          <w:sz w:val="24"/>
          <w:szCs w:val="24"/>
          <w:lang w:eastAsia="ru-RU"/>
        </w:rPr>
        <w:t xml:space="preserve"> (PCA)) в группах А и Б, получавших </w:t>
      </w:r>
      <w:proofErr w:type="spellStart"/>
      <w:r w:rsidRPr="007E6425">
        <w:rPr>
          <w:rFonts w:ascii="Times New Roman" w:eastAsia="Times New Roman" w:hAnsi="Times New Roman" w:cs="Times New Roman"/>
          <w:snapToGrid w:val="0"/>
          <w:sz w:val="24"/>
          <w:szCs w:val="24"/>
          <w:lang w:eastAsia="ru-RU"/>
        </w:rPr>
        <w:t>монотерапию</w:t>
      </w:r>
      <w:proofErr w:type="spellEnd"/>
      <w:r w:rsidRPr="007E6425">
        <w:rPr>
          <w:rFonts w:ascii="Times New Roman" w:eastAsia="Times New Roman" w:hAnsi="Times New Roman" w:cs="Times New Roman"/>
          <w:snapToGrid w:val="0"/>
          <w:sz w:val="24"/>
          <w:szCs w:val="24"/>
          <w:lang w:eastAsia="ru-RU"/>
        </w:rPr>
        <w:t xml:space="preserve">, и в группах В и Г, получавших последовательную терапию с переключением, с медианой времени лечения 24 месяца и медианой времени наблюдения 26 месяцев, а также с медианой времени </w:t>
      </w:r>
      <w:proofErr w:type="spellStart"/>
      <w:r w:rsidRPr="007E6425">
        <w:rPr>
          <w:rFonts w:ascii="Times New Roman" w:eastAsia="Times New Roman" w:hAnsi="Times New Roman" w:cs="Times New Roman"/>
          <w:snapToGrid w:val="0"/>
          <w:sz w:val="24"/>
          <w:szCs w:val="24"/>
          <w:lang w:eastAsia="ru-RU"/>
        </w:rPr>
        <w:t>лечени</w:t>
      </w:r>
      <w:proofErr w:type="spellEnd"/>
      <w:r w:rsidRPr="007E6425">
        <w:rPr>
          <w:rFonts w:ascii="Times New Roman" w:eastAsia="Times New Roman" w:hAnsi="Times New Roman" w:cs="Times New Roman"/>
          <w:snapToGrid w:val="0"/>
          <w:sz w:val="24"/>
          <w:szCs w:val="24"/>
          <w:lang w:eastAsia="ru-RU"/>
        </w:rPr>
        <w:t xml:space="preserve"> 32 месяца и медианой времени наблюдения 60 месяцев.</w:t>
      </w:r>
    </w:p>
    <w:p w14:paraId="5D5CD901"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5-летний срок выживания до рецидива (ВДР) составлял 84% для </w:t>
      </w:r>
      <w:proofErr w:type="spellStart"/>
      <w:r w:rsidRPr="007E6425">
        <w:rPr>
          <w:rFonts w:ascii="Times New Roman" w:eastAsia="Times New Roman" w:hAnsi="Times New Roman" w:cs="Times New Roman"/>
          <w:snapToGrid w:val="0"/>
          <w:sz w:val="24"/>
          <w:szCs w:val="24"/>
          <w:lang w:eastAsia="ru-RU"/>
        </w:rPr>
        <w:t>летрозола</w:t>
      </w:r>
      <w:proofErr w:type="spellEnd"/>
      <w:r w:rsidRPr="007E6425">
        <w:rPr>
          <w:rFonts w:ascii="Times New Roman" w:eastAsia="Times New Roman" w:hAnsi="Times New Roman" w:cs="Times New Roman"/>
          <w:snapToGrid w:val="0"/>
          <w:sz w:val="24"/>
          <w:szCs w:val="24"/>
          <w:lang w:eastAsia="ru-RU"/>
        </w:rPr>
        <w:t xml:space="preserve"> и 81.4% для тамоксифена. </w:t>
      </w:r>
    </w:p>
    <w:p w14:paraId="4DFDD799"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b/>
          <w:snapToGrid w:val="0"/>
          <w:sz w:val="24"/>
          <w:szCs w:val="24"/>
          <w:lang w:eastAsia="ru-RU"/>
        </w:rPr>
      </w:pPr>
      <w:r w:rsidRPr="007E6425">
        <w:rPr>
          <w:rFonts w:ascii="Times New Roman" w:eastAsia="Times New Roman" w:hAnsi="Times New Roman" w:cs="Times New Roman"/>
          <w:b/>
          <w:snapToGrid w:val="0"/>
          <w:sz w:val="24"/>
          <w:szCs w:val="24"/>
          <w:lang w:eastAsia="ru-RU"/>
        </w:rPr>
        <w:t xml:space="preserve">Таблица 4. </w:t>
      </w:r>
    </w:p>
    <w:p w14:paraId="1E44F96D" w14:textId="0D8023FF"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b/>
          <w:snapToGrid w:val="0"/>
          <w:sz w:val="24"/>
          <w:szCs w:val="24"/>
          <w:lang w:eastAsia="ru-RU"/>
        </w:rPr>
      </w:pPr>
      <w:r w:rsidRPr="007E6425">
        <w:rPr>
          <w:rFonts w:ascii="Times New Roman" w:eastAsia="Times New Roman" w:hAnsi="Times New Roman" w:cs="Times New Roman"/>
          <w:b/>
          <w:snapToGrid w:val="0"/>
          <w:sz w:val="24"/>
          <w:szCs w:val="24"/>
          <w:lang w:eastAsia="ru-RU"/>
        </w:rPr>
        <w:t xml:space="preserve">Первичный основной анализ: выживание до рецидива и общая выживаемость при медиане времени наблюдения 26 и 60 месяцев (популяция анализа по протоколу, ITT) </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4"/>
        <w:gridCol w:w="1276"/>
        <w:gridCol w:w="992"/>
        <w:gridCol w:w="1134"/>
        <w:gridCol w:w="1843"/>
        <w:gridCol w:w="992"/>
        <w:gridCol w:w="1418"/>
      </w:tblGrid>
      <w:tr w:rsidR="007E6425" w:rsidRPr="007E6425" w14:paraId="3E190C1B" w14:textId="77777777" w:rsidTr="004C0B5C">
        <w:tc>
          <w:tcPr>
            <w:tcW w:w="9469" w:type="dxa"/>
            <w:gridSpan w:val="7"/>
            <w:shd w:val="clear" w:color="auto" w:fill="auto"/>
          </w:tcPr>
          <w:p w14:paraId="57219334"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b/>
                <w:snapToGrid w:val="0"/>
                <w:sz w:val="24"/>
                <w:szCs w:val="24"/>
                <w:lang w:eastAsia="ru-RU"/>
              </w:rPr>
            </w:pPr>
            <w:r w:rsidRPr="007E6425">
              <w:rPr>
                <w:rFonts w:ascii="Times New Roman" w:eastAsia="Times New Roman" w:hAnsi="Times New Roman" w:cs="Times New Roman"/>
                <w:b/>
                <w:snapToGrid w:val="0"/>
                <w:sz w:val="24"/>
                <w:szCs w:val="24"/>
                <w:lang w:eastAsia="ru-RU"/>
              </w:rPr>
              <w:t>Первичный основной анализ</w:t>
            </w:r>
          </w:p>
        </w:tc>
      </w:tr>
      <w:tr w:rsidR="007E6425" w:rsidRPr="007E6425" w14:paraId="64835435" w14:textId="77777777" w:rsidTr="004C0B5C">
        <w:tc>
          <w:tcPr>
            <w:tcW w:w="1814" w:type="dxa"/>
            <w:shd w:val="clear" w:color="auto" w:fill="auto"/>
          </w:tcPr>
          <w:p w14:paraId="61F235F5"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b/>
                <w:snapToGrid w:val="0"/>
                <w:sz w:val="24"/>
                <w:szCs w:val="24"/>
                <w:lang w:eastAsia="ru-RU"/>
              </w:rPr>
            </w:pPr>
          </w:p>
        </w:tc>
        <w:tc>
          <w:tcPr>
            <w:tcW w:w="3402" w:type="dxa"/>
            <w:gridSpan w:val="3"/>
            <w:shd w:val="clear" w:color="auto" w:fill="auto"/>
          </w:tcPr>
          <w:p w14:paraId="240CE327" w14:textId="77777777" w:rsidR="007E6425" w:rsidRPr="007E6425" w:rsidRDefault="007E6425" w:rsidP="00F602A1">
            <w:pPr>
              <w:autoSpaceDE w:val="0"/>
              <w:autoSpaceDN w:val="0"/>
              <w:adjustRightInd w:val="0"/>
              <w:spacing w:after="0" w:line="240" w:lineRule="auto"/>
              <w:ind w:right="283"/>
              <w:jc w:val="center"/>
              <w:rPr>
                <w:rFonts w:ascii="Times New Roman" w:eastAsia="Times New Roman" w:hAnsi="Times New Roman" w:cs="Times New Roman"/>
                <w:b/>
                <w:snapToGrid w:val="0"/>
                <w:sz w:val="24"/>
                <w:szCs w:val="24"/>
                <w:lang w:eastAsia="ru-RU"/>
              </w:rPr>
            </w:pPr>
            <w:r w:rsidRPr="007E6425">
              <w:rPr>
                <w:rFonts w:ascii="Times New Roman" w:eastAsia="Times New Roman" w:hAnsi="Times New Roman" w:cs="Times New Roman"/>
                <w:b/>
                <w:snapToGrid w:val="0"/>
                <w:sz w:val="24"/>
                <w:szCs w:val="24"/>
                <w:lang w:eastAsia="ru-RU"/>
              </w:rPr>
              <w:t>Медиана времени наблюдения 26 месяцев</w:t>
            </w:r>
          </w:p>
        </w:tc>
        <w:tc>
          <w:tcPr>
            <w:tcW w:w="4253" w:type="dxa"/>
            <w:gridSpan w:val="3"/>
            <w:shd w:val="clear" w:color="auto" w:fill="auto"/>
          </w:tcPr>
          <w:p w14:paraId="1D731F45" w14:textId="77777777" w:rsidR="007E6425" w:rsidRPr="007E6425" w:rsidRDefault="007E6425" w:rsidP="00F602A1">
            <w:pPr>
              <w:autoSpaceDE w:val="0"/>
              <w:autoSpaceDN w:val="0"/>
              <w:adjustRightInd w:val="0"/>
              <w:spacing w:after="0" w:line="240" w:lineRule="auto"/>
              <w:ind w:right="283"/>
              <w:jc w:val="center"/>
              <w:rPr>
                <w:rFonts w:ascii="Times New Roman" w:eastAsia="Times New Roman" w:hAnsi="Times New Roman" w:cs="Times New Roman"/>
                <w:b/>
                <w:snapToGrid w:val="0"/>
                <w:sz w:val="24"/>
                <w:szCs w:val="24"/>
                <w:lang w:eastAsia="ru-RU"/>
              </w:rPr>
            </w:pPr>
            <w:r w:rsidRPr="007E6425">
              <w:rPr>
                <w:rFonts w:ascii="Times New Roman" w:eastAsia="Times New Roman" w:hAnsi="Times New Roman" w:cs="Times New Roman"/>
                <w:b/>
                <w:snapToGrid w:val="0"/>
                <w:sz w:val="24"/>
                <w:szCs w:val="24"/>
                <w:lang w:eastAsia="ru-RU"/>
              </w:rPr>
              <w:t>Медиана времени наблюдения 60 месяцев</w:t>
            </w:r>
          </w:p>
        </w:tc>
      </w:tr>
      <w:tr w:rsidR="007E6425" w:rsidRPr="007E6425" w14:paraId="05F29FDF" w14:textId="77777777" w:rsidTr="004C0B5C">
        <w:tc>
          <w:tcPr>
            <w:tcW w:w="1814" w:type="dxa"/>
            <w:shd w:val="clear" w:color="auto" w:fill="auto"/>
          </w:tcPr>
          <w:p w14:paraId="1D4273A9"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b/>
                <w:snapToGrid w:val="0"/>
                <w:sz w:val="24"/>
                <w:szCs w:val="24"/>
                <w:lang w:eastAsia="ru-RU"/>
              </w:rPr>
            </w:pPr>
          </w:p>
        </w:tc>
        <w:tc>
          <w:tcPr>
            <w:tcW w:w="1276" w:type="dxa"/>
            <w:shd w:val="clear" w:color="auto" w:fill="auto"/>
          </w:tcPr>
          <w:p w14:paraId="195BDE48"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proofErr w:type="spellStart"/>
            <w:r w:rsidRPr="007E6425">
              <w:rPr>
                <w:rFonts w:ascii="Times New Roman" w:eastAsia="Times New Roman" w:hAnsi="Times New Roman" w:cs="Times New Roman"/>
                <w:snapToGrid w:val="0"/>
                <w:sz w:val="24"/>
                <w:szCs w:val="24"/>
                <w:lang w:eastAsia="ru-RU"/>
              </w:rPr>
              <w:t>Летрозол</w:t>
            </w:r>
            <w:proofErr w:type="spellEnd"/>
          </w:p>
          <w:p w14:paraId="746B395C"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bCs/>
                <w:snapToGrid w:val="0"/>
                <w:sz w:val="24"/>
                <w:szCs w:val="24"/>
                <w:lang w:eastAsia="ru-RU"/>
              </w:rPr>
              <w:t>N=4003</w:t>
            </w:r>
          </w:p>
        </w:tc>
        <w:tc>
          <w:tcPr>
            <w:tcW w:w="992" w:type="dxa"/>
            <w:shd w:val="clear" w:color="auto" w:fill="auto"/>
          </w:tcPr>
          <w:p w14:paraId="50846A05"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Тамо-</w:t>
            </w:r>
            <w:proofErr w:type="spellStart"/>
            <w:r w:rsidRPr="007E6425">
              <w:rPr>
                <w:rFonts w:ascii="Times New Roman" w:eastAsia="Times New Roman" w:hAnsi="Times New Roman" w:cs="Times New Roman"/>
                <w:snapToGrid w:val="0"/>
                <w:sz w:val="24"/>
                <w:szCs w:val="24"/>
                <w:lang w:eastAsia="ru-RU"/>
              </w:rPr>
              <w:t>ксифен</w:t>
            </w:r>
            <w:proofErr w:type="spellEnd"/>
          </w:p>
          <w:p w14:paraId="02E4155E"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bCs/>
                <w:snapToGrid w:val="0"/>
                <w:sz w:val="24"/>
                <w:szCs w:val="24"/>
                <w:lang w:eastAsia="ru-RU"/>
              </w:rPr>
              <w:t>N=4007</w:t>
            </w:r>
          </w:p>
        </w:tc>
        <w:tc>
          <w:tcPr>
            <w:tcW w:w="1134" w:type="dxa"/>
            <w:shd w:val="clear" w:color="auto" w:fill="auto"/>
          </w:tcPr>
          <w:p w14:paraId="03145892"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Отношение рисков</w:t>
            </w:r>
            <w:r w:rsidRPr="007E6425">
              <w:rPr>
                <w:rFonts w:ascii="Times New Roman" w:eastAsia="Times New Roman" w:hAnsi="Times New Roman" w:cs="Times New Roman"/>
                <w:snapToGrid w:val="0"/>
                <w:sz w:val="24"/>
                <w:szCs w:val="24"/>
                <w:vertAlign w:val="superscript"/>
                <w:lang w:eastAsia="ru-RU"/>
              </w:rPr>
              <w:t>1</w:t>
            </w:r>
            <w:r w:rsidRPr="007E6425">
              <w:rPr>
                <w:rFonts w:ascii="Times New Roman" w:eastAsia="Times New Roman" w:hAnsi="Times New Roman" w:cs="Times New Roman"/>
                <w:snapToGrid w:val="0"/>
                <w:sz w:val="24"/>
                <w:szCs w:val="24"/>
                <w:lang w:eastAsia="ru-RU"/>
              </w:rPr>
              <w:t xml:space="preserve"> </w:t>
            </w:r>
          </w:p>
          <w:p w14:paraId="3E968CF8"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(95% ДИ),</w:t>
            </w:r>
          </w:p>
          <w:p w14:paraId="30AACBD9"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        Р</w:t>
            </w:r>
          </w:p>
        </w:tc>
        <w:tc>
          <w:tcPr>
            <w:tcW w:w="1843" w:type="dxa"/>
            <w:shd w:val="clear" w:color="auto" w:fill="auto"/>
          </w:tcPr>
          <w:p w14:paraId="235B1A27"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proofErr w:type="spellStart"/>
            <w:r w:rsidRPr="007E6425">
              <w:rPr>
                <w:rFonts w:ascii="Times New Roman" w:eastAsia="Times New Roman" w:hAnsi="Times New Roman" w:cs="Times New Roman"/>
                <w:snapToGrid w:val="0"/>
                <w:sz w:val="24"/>
                <w:szCs w:val="24"/>
                <w:lang w:eastAsia="ru-RU"/>
              </w:rPr>
              <w:t>Летрозол</w:t>
            </w:r>
            <w:proofErr w:type="spellEnd"/>
          </w:p>
          <w:p w14:paraId="7907073B"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bCs/>
                <w:snapToGrid w:val="0"/>
                <w:sz w:val="24"/>
                <w:szCs w:val="24"/>
                <w:lang w:eastAsia="ru-RU"/>
              </w:rPr>
              <w:t>N=4003</w:t>
            </w:r>
          </w:p>
        </w:tc>
        <w:tc>
          <w:tcPr>
            <w:tcW w:w="992" w:type="dxa"/>
            <w:shd w:val="clear" w:color="auto" w:fill="auto"/>
          </w:tcPr>
          <w:p w14:paraId="1DAD6410"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Тамо-</w:t>
            </w:r>
            <w:proofErr w:type="spellStart"/>
            <w:r w:rsidRPr="007E6425">
              <w:rPr>
                <w:rFonts w:ascii="Times New Roman" w:eastAsia="Times New Roman" w:hAnsi="Times New Roman" w:cs="Times New Roman"/>
                <w:snapToGrid w:val="0"/>
                <w:sz w:val="24"/>
                <w:szCs w:val="24"/>
                <w:lang w:eastAsia="ru-RU"/>
              </w:rPr>
              <w:t>ксифен</w:t>
            </w:r>
            <w:proofErr w:type="spellEnd"/>
          </w:p>
          <w:p w14:paraId="1FE47695"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bCs/>
                <w:snapToGrid w:val="0"/>
                <w:sz w:val="24"/>
                <w:szCs w:val="24"/>
                <w:lang w:eastAsia="ru-RU"/>
              </w:rPr>
              <w:t>N=4007</w:t>
            </w:r>
          </w:p>
        </w:tc>
        <w:tc>
          <w:tcPr>
            <w:tcW w:w="1418" w:type="dxa"/>
            <w:shd w:val="clear" w:color="auto" w:fill="auto"/>
          </w:tcPr>
          <w:p w14:paraId="1AA5F185"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Отношение рисков </w:t>
            </w:r>
          </w:p>
          <w:p w14:paraId="6B2F486A"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(95% ДИ),</w:t>
            </w:r>
          </w:p>
          <w:p w14:paraId="0FFA0731"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        Р</w:t>
            </w:r>
          </w:p>
        </w:tc>
      </w:tr>
      <w:tr w:rsidR="007E6425" w:rsidRPr="007E6425" w14:paraId="660528A3" w14:textId="77777777" w:rsidTr="004C0B5C">
        <w:tc>
          <w:tcPr>
            <w:tcW w:w="1814" w:type="dxa"/>
            <w:shd w:val="clear" w:color="auto" w:fill="auto"/>
          </w:tcPr>
          <w:p w14:paraId="47EBE2E9" w14:textId="77777777" w:rsidR="007E6425" w:rsidRPr="007E6425" w:rsidRDefault="007E6425" w:rsidP="00F602A1">
            <w:pPr>
              <w:autoSpaceDE w:val="0"/>
              <w:autoSpaceDN w:val="0"/>
              <w:adjustRightInd w:val="0"/>
              <w:spacing w:after="0" w:line="240" w:lineRule="auto"/>
              <w:ind w:right="283"/>
              <w:rPr>
                <w:rFonts w:ascii="Times New Roman" w:eastAsia="Times New Roman" w:hAnsi="Times New Roman" w:cs="Times New Roman"/>
                <w:snapToGrid w:val="0"/>
                <w:sz w:val="24"/>
                <w:szCs w:val="24"/>
                <w:vertAlign w:val="superscript"/>
                <w:lang w:eastAsia="ru-RU"/>
              </w:rPr>
            </w:pPr>
            <w:r w:rsidRPr="007E6425">
              <w:rPr>
                <w:rFonts w:ascii="Times New Roman" w:eastAsia="Times New Roman" w:hAnsi="Times New Roman" w:cs="Times New Roman"/>
                <w:snapToGrid w:val="0"/>
                <w:sz w:val="24"/>
                <w:szCs w:val="24"/>
                <w:lang w:eastAsia="ru-RU"/>
              </w:rPr>
              <w:t xml:space="preserve">Выживание до рецидивов (первичная точка), </w:t>
            </w:r>
            <w:proofErr w:type="spellStart"/>
            <w:proofErr w:type="gramStart"/>
            <w:r w:rsidRPr="007E6425">
              <w:rPr>
                <w:rFonts w:ascii="Times New Roman" w:eastAsia="Times New Roman" w:hAnsi="Times New Roman" w:cs="Times New Roman"/>
                <w:snapToGrid w:val="0"/>
                <w:sz w:val="24"/>
                <w:szCs w:val="24"/>
                <w:lang w:eastAsia="ru-RU"/>
              </w:rPr>
              <w:t>опре</w:t>
            </w:r>
            <w:proofErr w:type="spellEnd"/>
            <w:r w:rsidRPr="007E6425">
              <w:rPr>
                <w:rFonts w:ascii="Times New Roman" w:eastAsia="Times New Roman" w:hAnsi="Times New Roman" w:cs="Times New Roman"/>
                <w:snapToGrid w:val="0"/>
                <w:sz w:val="24"/>
                <w:szCs w:val="24"/>
                <w:lang w:eastAsia="ru-RU"/>
              </w:rPr>
              <w:t>-делено</w:t>
            </w:r>
            <w:proofErr w:type="gramEnd"/>
            <w:r w:rsidRPr="007E6425">
              <w:rPr>
                <w:rFonts w:ascii="Times New Roman" w:eastAsia="Times New Roman" w:hAnsi="Times New Roman" w:cs="Times New Roman"/>
                <w:snapToGrid w:val="0"/>
                <w:sz w:val="24"/>
                <w:szCs w:val="24"/>
                <w:lang w:eastAsia="ru-RU"/>
              </w:rPr>
              <w:t xml:space="preserve"> </w:t>
            </w:r>
            <w:r w:rsidRPr="007E6425">
              <w:rPr>
                <w:rFonts w:ascii="Times New Roman" w:eastAsia="Times New Roman" w:hAnsi="Times New Roman" w:cs="Times New Roman"/>
                <w:snapToGrid w:val="0"/>
                <w:sz w:val="24"/>
                <w:szCs w:val="24"/>
                <w:lang w:eastAsia="ru-RU"/>
              </w:rPr>
              <w:lastRenderedPageBreak/>
              <w:t>в соответствии с протоколом</w:t>
            </w:r>
            <w:r w:rsidRPr="007E6425">
              <w:rPr>
                <w:rFonts w:ascii="Times New Roman" w:eastAsia="Times New Roman" w:hAnsi="Times New Roman" w:cs="Times New Roman"/>
                <w:snapToGrid w:val="0"/>
                <w:sz w:val="24"/>
                <w:szCs w:val="24"/>
                <w:vertAlign w:val="superscript"/>
                <w:lang w:eastAsia="ru-RU"/>
              </w:rPr>
              <w:t>2</w:t>
            </w:r>
          </w:p>
        </w:tc>
        <w:tc>
          <w:tcPr>
            <w:tcW w:w="1276" w:type="dxa"/>
            <w:shd w:val="clear" w:color="auto" w:fill="auto"/>
          </w:tcPr>
          <w:p w14:paraId="3F6CE7A0"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lastRenderedPageBreak/>
              <w:t>351</w:t>
            </w:r>
          </w:p>
        </w:tc>
        <w:tc>
          <w:tcPr>
            <w:tcW w:w="992" w:type="dxa"/>
            <w:shd w:val="clear" w:color="auto" w:fill="auto"/>
          </w:tcPr>
          <w:p w14:paraId="4FFEBCF1"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428</w:t>
            </w:r>
          </w:p>
        </w:tc>
        <w:tc>
          <w:tcPr>
            <w:tcW w:w="1134" w:type="dxa"/>
            <w:shd w:val="clear" w:color="auto" w:fill="auto"/>
          </w:tcPr>
          <w:p w14:paraId="7AA33EE4"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bCs/>
                <w:snapToGrid w:val="0"/>
                <w:sz w:val="24"/>
                <w:szCs w:val="24"/>
                <w:lang w:eastAsia="ru-RU"/>
              </w:rPr>
            </w:pPr>
            <w:r w:rsidRPr="007E6425">
              <w:rPr>
                <w:rFonts w:ascii="Times New Roman" w:eastAsia="Times New Roman" w:hAnsi="Times New Roman" w:cs="Times New Roman"/>
                <w:bCs/>
                <w:snapToGrid w:val="0"/>
                <w:sz w:val="24"/>
                <w:szCs w:val="24"/>
                <w:lang w:eastAsia="ru-RU"/>
              </w:rPr>
              <w:t>0.81</w:t>
            </w:r>
          </w:p>
          <w:p w14:paraId="63B0ACC2"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bCs/>
                <w:snapToGrid w:val="0"/>
                <w:sz w:val="24"/>
                <w:szCs w:val="24"/>
                <w:lang w:eastAsia="ru-RU"/>
              </w:rPr>
            </w:pPr>
            <w:r w:rsidRPr="007E6425">
              <w:rPr>
                <w:rFonts w:ascii="Times New Roman" w:eastAsia="Times New Roman" w:hAnsi="Times New Roman" w:cs="Times New Roman"/>
                <w:bCs/>
                <w:snapToGrid w:val="0"/>
                <w:sz w:val="24"/>
                <w:szCs w:val="24"/>
                <w:lang w:eastAsia="ru-RU"/>
              </w:rPr>
              <w:t>(0.70, 0.93)</w:t>
            </w:r>
          </w:p>
          <w:p w14:paraId="0BE0791A"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bCs/>
                <w:snapToGrid w:val="0"/>
                <w:sz w:val="24"/>
                <w:szCs w:val="24"/>
                <w:lang w:eastAsia="ru-RU"/>
              </w:rPr>
            </w:pPr>
          </w:p>
          <w:p w14:paraId="3D92A021"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b/>
                <w:snapToGrid w:val="0"/>
                <w:sz w:val="24"/>
                <w:szCs w:val="24"/>
                <w:lang w:eastAsia="ru-RU"/>
              </w:rPr>
            </w:pPr>
            <w:r w:rsidRPr="007E6425">
              <w:rPr>
                <w:rFonts w:ascii="Times New Roman" w:eastAsia="Times New Roman" w:hAnsi="Times New Roman" w:cs="Times New Roman"/>
                <w:bCs/>
                <w:snapToGrid w:val="0"/>
                <w:sz w:val="24"/>
                <w:szCs w:val="24"/>
                <w:lang w:eastAsia="ru-RU"/>
              </w:rPr>
              <w:t>0.003</w:t>
            </w:r>
          </w:p>
        </w:tc>
        <w:tc>
          <w:tcPr>
            <w:tcW w:w="1843" w:type="dxa"/>
            <w:shd w:val="clear" w:color="auto" w:fill="auto"/>
          </w:tcPr>
          <w:p w14:paraId="3D15E8FB"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585</w:t>
            </w:r>
          </w:p>
        </w:tc>
        <w:tc>
          <w:tcPr>
            <w:tcW w:w="992" w:type="dxa"/>
            <w:shd w:val="clear" w:color="auto" w:fill="auto"/>
          </w:tcPr>
          <w:p w14:paraId="0C97BA9B"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664</w:t>
            </w:r>
          </w:p>
        </w:tc>
        <w:tc>
          <w:tcPr>
            <w:tcW w:w="1418" w:type="dxa"/>
            <w:shd w:val="clear" w:color="auto" w:fill="auto"/>
          </w:tcPr>
          <w:p w14:paraId="33DE827C"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bCs/>
                <w:snapToGrid w:val="0"/>
                <w:sz w:val="24"/>
                <w:szCs w:val="24"/>
                <w:lang w:eastAsia="ru-RU"/>
              </w:rPr>
            </w:pPr>
            <w:r w:rsidRPr="007E6425">
              <w:rPr>
                <w:rFonts w:ascii="Times New Roman" w:eastAsia="Times New Roman" w:hAnsi="Times New Roman" w:cs="Times New Roman"/>
                <w:bCs/>
                <w:snapToGrid w:val="0"/>
                <w:sz w:val="24"/>
                <w:szCs w:val="24"/>
                <w:lang w:eastAsia="ru-RU"/>
              </w:rPr>
              <w:t>0.86</w:t>
            </w:r>
          </w:p>
          <w:p w14:paraId="7A408F08"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bCs/>
                <w:snapToGrid w:val="0"/>
                <w:sz w:val="24"/>
                <w:szCs w:val="24"/>
                <w:lang w:eastAsia="ru-RU"/>
              </w:rPr>
            </w:pPr>
            <w:r w:rsidRPr="007E6425">
              <w:rPr>
                <w:rFonts w:ascii="Times New Roman" w:eastAsia="Times New Roman" w:hAnsi="Times New Roman" w:cs="Times New Roman"/>
                <w:bCs/>
                <w:snapToGrid w:val="0"/>
                <w:sz w:val="24"/>
                <w:szCs w:val="24"/>
                <w:lang w:eastAsia="ru-RU"/>
              </w:rPr>
              <w:t>(0.77, 0.96)</w:t>
            </w:r>
          </w:p>
          <w:p w14:paraId="19BC2AC2"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bCs/>
                <w:snapToGrid w:val="0"/>
                <w:sz w:val="24"/>
                <w:szCs w:val="24"/>
                <w:lang w:eastAsia="ru-RU"/>
              </w:rPr>
            </w:pPr>
          </w:p>
          <w:p w14:paraId="62C109E6"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bCs/>
                <w:snapToGrid w:val="0"/>
                <w:sz w:val="24"/>
                <w:szCs w:val="24"/>
                <w:vertAlign w:val="superscript"/>
                <w:lang w:eastAsia="ru-RU"/>
              </w:rPr>
            </w:pPr>
            <w:r w:rsidRPr="007E6425">
              <w:rPr>
                <w:rFonts w:ascii="Times New Roman" w:eastAsia="Times New Roman" w:hAnsi="Times New Roman" w:cs="Times New Roman"/>
                <w:bCs/>
                <w:snapToGrid w:val="0"/>
                <w:sz w:val="24"/>
                <w:szCs w:val="24"/>
                <w:lang w:eastAsia="ru-RU"/>
              </w:rPr>
              <w:t>0.008</w:t>
            </w:r>
          </w:p>
          <w:p w14:paraId="22A5A9F4"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bCs/>
                <w:snapToGrid w:val="0"/>
                <w:sz w:val="24"/>
                <w:szCs w:val="24"/>
                <w:vertAlign w:val="superscript"/>
                <w:lang w:eastAsia="ru-RU"/>
              </w:rPr>
            </w:pPr>
          </w:p>
          <w:p w14:paraId="4875B09C"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b/>
                <w:snapToGrid w:val="0"/>
                <w:sz w:val="24"/>
                <w:szCs w:val="24"/>
                <w:lang w:eastAsia="ru-RU"/>
              </w:rPr>
            </w:pPr>
          </w:p>
        </w:tc>
      </w:tr>
      <w:tr w:rsidR="007E6425" w:rsidRPr="007E6425" w14:paraId="3B0822DC" w14:textId="77777777" w:rsidTr="004C0B5C">
        <w:tc>
          <w:tcPr>
            <w:tcW w:w="1814" w:type="dxa"/>
            <w:shd w:val="clear" w:color="auto" w:fill="auto"/>
          </w:tcPr>
          <w:p w14:paraId="6EF4D87E"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lastRenderedPageBreak/>
              <w:t>Общая выживаемость (вторичная точка),</w:t>
            </w:r>
          </w:p>
          <w:p w14:paraId="42224D77"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Количество смертей</w:t>
            </w:r>
          </w:p>
        </w:tc>
        <w:tc>
          <w:tcPr>
            <w:tcW w:w="1276" w:type="dxa"/>
            <w:shd w:val="clear" w:color="auto" w:fill="auto"/>
          </w:tcPr>
          <w:p w14:paraId="39029317"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166</w:t>
            </w:r>
          </w:p>
        </w:tc>
        <w:tc>
          <w:tcPr>
            <w:tcW w:w="992" w:type="dxa"/>
            <w:shd w:val="clear" w:color="auto" w:fill="auto"/>
          </w:tcPr>
          <w:p w14:paraId="32D1B06C"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192</w:t>
            </w:r>
          </w:p>
        </w:tc>
        <w:tc>
          <w:tcPr>
            <w:tcW w:w="1134" w:type="dxa"/>
            <w:shd w:val="clear" w:color="auto" w:fill="auto"/>
          </w:tcPr>
          <w:p w14:paraId="3169FB9F"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bCs/>
                <w:snapToGrid w:val="0"/>
                <w:sz w:val="24"/>
                <w:szCs w:val="24"/>
                <w:lang w:eastAsia="ru-RU"/>
              </w:rPr>
            </w:pPr>
            <w:r w:rsidRPr="007E6425">
              <w:rPr>
                <w:rFonts w:ascii="Times New Roman" w:eastAsia="Times New Roman" w:hAnsi="Times New Roman" w:cs="Times New Roman"/>
                <w:bCs/>
                <w:snapToGrid w:val="0"/>
                <w:sz w:val="24"/>
                <w:szCs w:val="24"/>
                <w:lang w:eastAsia="ru-RU"/>
              </w:rPr>
              <w:t xml:space="preserve">0.86  </w:t>
            </w:r>
          </w:p>
          <w:p w14:paraId="49E6DB2D"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b/>
                <w:snapToGrid w:val="0"/>
                <w:sz w:val="24"/>
                <w:szCs w:val="24"/>
                <w:lang w:eastAsia="ru-RU"/>
              </w:rPr>
            </w:pPr>
            <w:r w:rsidRPr="007E6425">
              <w:rPr>
                <w:rFonts w:ascii="Times New Roman" w:eastAsia="Times New Roman" w:hAnsi="Times New Roman" w:cs="Times New Roman"/>
                <w:bCs/>
                <w:snapToGrid w:val="0"/>
                <w:sz w:val="24"/>
                <w:szCs w:val="24"/>
                <w:lang w:eastAsia="ru-RU"/>
              </w:rPr>
              <w:t xml:space="preserve">                                (0.70, 1.06)</w:t>
            </w:r>
          </w:p>
        </w:tc>
        <w:tc>
          <w:tcPr>
            <w:tcW w:w="1843" w:type="dxa"/>
            <w:shd w:val="clear" w:color="auto" w:fill="auto"/>
          </w:tcPr>
          <w:p w14:paraId="38733413"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330</w:t>
            </w:r>
          </w:p>
        </w:tc>
        <w:tc>
          <w:tcPr>
            <w:tcW w:w="992" w:type="dxa"/>
            <w:shd w:val="clear" w:color="auto" w:fill="auto"/>
          </w:tcPr>
          <w:p w14:paraId="36A197DE"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374</w:t>
            </w:r>
          </w:p>
          <w:p w14:paraId="704BE6C1"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p>
        </w:tc>
        <w:tc>
          <w:tcPr>
            <w:tcW w:w="1418" w:type="dxa"/>
            <w:shd w:val="clear" w:color="auto" w:fill="auto"/>
          </w:tcPr>
          <w:p w14:paraId="2AE0626A"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bCs/>
                <w:snapToGrid w:val="0"/>
                <w:sz w:val="24"/>
                <w:szCs w:val="24"/>
                <w:lang w:eastAsia="ru-RU"/>
              </w:rPr>
            </w:pPr>
            <w:r w:rsidRPr="007E6425">
              <w:rPr>
                <w:rFonts w:ascii="Times New Roman" w:eastAsia="Times New Roman" w:hAnsi="Times New Roman" w:cs="Times New Roman"/>
                <w:bCs/>
                <w:snapToGrid w:val="0"/>
                <w:sz w:val="24"/>
                <w:szCs w:val="24"/>
                <w:lang w:eastAsia="ru-RU"/>
              </w:rPr>
              <w:t>0.87</w:t>
            </w:r>
          </w:p>
          <w:p w14:paraId="7D2C5059"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bCs/>
                <w:snapToGrid w:val="0"/>
                <w:sz w:val="24"/>
                <w:szCs w:val="24"/>
                <w:lang w:eastAsia="ru-RU"/>
              </w:rPr>
            </w:pPr>
          </w:p>
          <w:p w14:paraId="2813705A"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bCs/>
                <w:snapToGrid w:val="0"/>
                <w:sz w:val="24"/>
                <w:szCs w:val="24"/>
                <w:vertAlign w:val="superscript"/>
                <w:lang w:eastAsia="ru-RU"/>
              </w:rPr>
            </w:pPr>
            <w:r w:rsidRPr="007E6425">
              <w:rPr>
                <w:rFonts w:ascii="Times New Roman" w:eastAsia="Times New Roman" w:hAnsi="Times New Roman" w:cs="Times New Roman"/>
                <w:bCs/>
                <w:snapToGrid w:val="0"/>
                <w:sz w:val="24"/>
                <w:szCs w:val="24"/>
                <w:lang w:eastAsia="ru-RU"/>
              </w:rPr>
              <w:t>(0.75, 1.01)</w:t>
            </w:r>
          </w:p>
          <w:p w14:paraId="0CC9F6A7"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b/>
                <w:snapToGrid w:val="0"/>
                <w:sz w:val="24"/>
                <w:szCs w:val="24"/>
                <w:lang w:eastAsia="ru-RU"/>
              </w:rPr>
            </w:pPr>
          </w:p>
        </w:tc>
      </w:tr>
    </w:tbl>
    <w:p w14:paraId="422E229F"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0"/>
          <w:szCs w:val="20"/>
          <w:lang w:eastAsia="ru-RU"/>
        </w:rPr>
      </w:pPr>
      <w:r w:rsidRPr="007E6425">
        <w:rPr>
          <w:rFonts w:ascii="Times New Roman" w:eastAsia="Times New Roman" w:hAnsi="Times New Roman" w:cs="Times New Roman"/>
          <w:snapToGrid w:val="0"/>
          <w:sz w:val="20"/>
          <w:szCs w:val="20"/>
          <w:lang w:eastAsia="ru-RU"/>
        </w:rPr>
        <w:t>ДИ – доверительный интервал</w:t>
      </w:r>
    </w:p>
    <w:p w14:paraId="7EF2F949" w14:textId="77777777" w:rsidR="007E6425" w:rsidRPr="007E6425" w:rsidRDefault="007E6425" w:rsidP="00F602A1">
      <w:pPr>
        <w:numPr>
          <w:ilvl w:val="0"/>
          <w:numId w:val="21"/>
        </w:numPr>
        <w:autoSpaceDE w:val="0"/>
        <w:autoSpaceDN w:val="0"/>
        <w:adjustRightInd w:val="0"/>
        <w:spacing w:after="0" w:line="240" w:lineRule="auto"/>
        <w:ind w:right="283"/>
        <w:jc w:val="both"/>
        <w:rPr>
          <w:rFonts w:ascii="Times New Roman" w:eastAsia="Times New Roman" w:hAnsi="Times New Roman" w:cs="Times New Roman"/>
          <w:snapToGrid w:val="0"/>
          <w:sz w:val="20"/>
          <w:szCs w:val="20"/>
          <w:lang w:eastAsia="ru-RU"/>
        </w:rPr>
      </w:pPr>
      <w:r w:rsidRPr="007E6425">
        <w:rPr>
          <w:rFonts w:ascii="Times New Roman" w:eastAsia="Times New Roman" w:hAnsi="Times New Roman" w:cs="Times New Roman"/>
          <w:snapToGrid w:val="0"/>
          <w:sz w:val="20"/>
          <w:szCs w:val="20"/>
          <w:lang w:eastAsia="ru-RU"/>
        </w:rPr>
        <w:t>Лог-ранговый критерий, стратифицированный по группе рандомизации и предшествующему применению химиотерапии (Да/Нет)</w:t>
      </w:r>
    </w:p>
    <w:p w14:paraId="4A526951" w14:textId="77777777" w:rsidR="007E6425" w:rsidRPr="007E6425" w:rsidRDefault="007E6425" w:rsidP="00F602A1">
      <w:pPr>
        <w:numPr>
          <w:ilvl w:val="0"/>
          <w:numId w:val="21"/>
        </w:numPr>
        <w:autoSpaceDE w:val="0"/>
        <w:autoSpaceDN w:val="0"/>
        <w:adjustRightInd w:val="0"/>
        <w:spacing w:after="0" w:line="240" w:lineRule="auto"/>
        <w:ind w:right="283"/>
        <w:jc w:val="both"/>
        <w:rPr>
          <w:rFonts w:ascii="Times New Roman" w:eastAsia="Times New Roman" w:hAnsi="Times New Roman" w:cs="Times New Roman"/>
          <w:snapToGrid w:val="0"/>
          <w:sz w:val="20"/>
          <w:szCs w:val="20"/>
          <w:lang w:eastAsia="ru-RU"/>
        </w:rPr>
      </w:pPr>
      <w:r w:rsidRPr="007E6425">
        <w:rPr>
          <w:rFonts w:ascii="Times New Roman" w:eastAsia="Times New Roman" w:hAnsi="Times New Roman" w:cs="Times New Roman"/>
          <w:snapToGrid w:val="0"/>
          <w:sz w:val="20"/>
          <w:szCs w:val="20"/>
          <w:lang w:eastAsia="ru-RU"/>
        </w:rPr>
        <w:t xml:space="preserve">ВДР: </w:t>
      </w:r>
      <w:proofErr w:type="spellStart"/>
      <w:r w:rsidRPr="007E6425">
        <w:rPr>
          <w:rFonts w:ascii="Times New Roman" w:eastAsia="Times New Roman" w:hAnsi="Times New Roman" w:cs="Times New Roman"/>
          <w:snapToGrid w:val="0"/>
          <w:sz w:val="20"/>
          <w:szCs w:val="20"/>
          <w:lang w:eastAsia="ru-RU"/>
        </w:rPr>
        <w:t>локорегиональные</w:t>
      </w:r>
      <w:proofErr w:type="spellEnd"/>
      <w:r w:rsidRPr="007E6425">
        <w:rPr>
          <w:rFonts w:ascii="Times New Roman" w:eastAsia="Times New Roman" w:hAnsi="Times New Roman" w:cs="Times New Roman"/>
          <w:snapToGrid w:val="0"/>
          <w:sz w:val="20"/>
          <w:szCs w:val="20"/>
          <w:lang w:eastAsia="ru-RU"/>
        </w:rPr>
        <w:t xml:space="preserve"> рецидивы, отдаленные метастазы, инвазивный рак контралатеральной молочной железы, второе первичное новообразование (не в молочной железе), смерть по любым причинам, но без наличия злокачественных новообразований.</w:t>
      </w:r>
    </w:p>
    <w:p w14:paraId="569F35BF" w14:textId="2B6B65AC"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i/>
          <w:snapToGrid w:val="0"/>
          <w:sz w:val="24"/>
          <w:szCs w:val="24"/>
          <w:lang w:eastAsia="ru-RU"/>
        </w:rPr>
      </w:pPr>
      <w:r w:rsidRPr="007E6425">
        <w:rPr>
          <w:rFonts w:ascii="Times New Roman" w:eastAsia="Times New Roman" w:hAnsi="Times New Roman" w:cs="Times New Roman"/>
          <w:i/>
          <w:snapToGrid w:val="0"/>
          <w:sz w:val="24"/>
          <w:szCs w:val="24"/>
          <w:lang w:eastAsia="ru-RU"/>
        </w:rPr>
        <w:t xml:space="preserve">Результаты эффективности при медиане времени наблюдения 96 месяцев (только </w:t>
      </w:r>
      <w:r w:rsidR="00BF7BE1">
        <w:rPr>
          <w:rFonts w:ascii="Times New Roman" w:eastAsia="Times New Roman" w:hAnsi="Times New Roman" w:cs="Times New Roman"/>
          <w:i/>
          <w:snapToGrid w:val="0"/>
          <w:sz w:val="24"/>
          <w:szCs w:val="24"/>
          <w:lang w:eastAsia="ru-RU"/>
        </w:rPr>
        <w:t xml:space="preserve">в </w:t>
      </w:r>
      <w:r w:rsidRPr="007E6425">
        <w:rPr>
          <w:rFonts w:ascii="Times New Roman" w:eastAsia="Times New Roman" w:hAnsi="Times New Roman" w:cs="Times New Roman"/>
          <w:i/>
          <w:snapToGrid w:val="0"/>
          <w:sz w:val="24"/>
          <w:szCs w:val="24"/>
          <w:lang w:eastAsia="ru-RU"/>
        </w:rPr>
        <w:t xml:space="preserve">группах </w:t>
      </w:r>
      <w:proofErr w:type="spellStart"/>
      <w:r w:rsidRPr="007E6425">
        <w:rPr>
          <w:rFonts w:ascii="Times New Roman" w:eastAsia="Times New Roman" w:hAnsi="Times New Roman" w:cs="Times New Roman"/>
          <w:i/>
          <w:snapToGrid w:val="0"/>
          <w:sz w:val="24"/>
          <w:szCs w:val="24"/>
          <w:lang w:eastAsia="ru-RU"/>
        </w:rPr>
        <w:t>монотерапии</w:t>
      </w:r>
      <w:proofErr w:type="spellEnd"/>
      <w:r w:rsidRPr="007E6425">
        <w:rPr>
          <w:rFonts w:ascii="Times New Roman" w:eastAsia="Times New Roman" w:hAnsi="Times New Roman" w:cs="Times New Roman"/>
          <w:i/>
          <w:snapToGrid w:val="0"/>
          <w:sz w:val="24"/>
          <w:szCs w:val="24"/>
          <w:lang w:eastAsia="ru-RU"/>
        </w:rPr>
        <w:t>)</w:t>
      </w:r>
    </w:p>
    <w:p w14:paraId="34DDBAC0" w14:textId="54127762"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Результаты анализа групп </w:t>
      </w:r>
      <w:proofErr w:type="spellStart"/>
      <w:r w:rsidRPr="007E6425">
        <w:rPr>
          <w:rFonts w:ascii="Times New Roman" w:eastAsia="Times New Roman" w:hAnsi="Times New Roman" w:cs="Times New Roman"/>
          <w:snapToGrid w:val="0"/>
          <w:sz w:val="24"/>
          <w:szCs w:val="24"/>
          <w:lang w:eastAsia="ru-RU"/>
        </w:rPr>
        <w:t>монотерапии</w:t>
      </w:r>
      <w:proofErr w:type="spellEnd"/>
      <w:r w:rsidRPr="007E6425">
        <w:rPr>
          <w:rFonts w:ascii="Times New Roman" w:eastAsia="Times New Roman" w:hAnsi="Times New Roman" w:cs="Times New Roman"/>
          <w:snapToGrid w:val="0"/>
          <w:sz w:val="24"/>
          <w:szCs w:val="24"/>
          <w:lang w:eastAsia="ru-RU"/>
        </w:rPr>
        <w:t xml:space="preserve"> (АГМ) по сравнению эффективности </w:t>
      </w:r>
      <w:proofErr w:type="spellStart"/>
      <w:r w:rsidRPr="007E6425">
        <w:rPr>
          <w:rFonts w:ascii="Times New Roman" w:eastAsia="Times New Roman" w:hAnsi="Times New Roman" w:cs="Times New Roman"/>
          <w:snapToGrid w:val="0"/>
          <w:sz w:val="24"/>
          <w:szCs w:val="24"/>
          <w:lang w:eastAsia="ru-RU"/>
        </w:rPr>
        <w:t>монотерапии</w:t>
      </w:r>
      <w:proofErr w:type="spellEnd"/>
      <w:r w:rsidRPr="007E6425">
        <w:rPr>
          <w:rFonts w:ascii="Times New Roman" w:eastAsia="Times New Roman" w:hAnsi="Times New Roman" w:cs="Times New Roman"/>
          <w:snapToGrid w:val="0"/>
          <w:sz w:val="24"/>
          <w:szCs w:val="24"/>
          <w:lang w:eastAsia="ru-RU"/>
        </w:rPr>
        <w:t xml:space="preserve"> </w:t>
      </w:r>
      <w:proofErr w:type="spellStart"/>
      <w:r w:rsidR="00BF7BE1">
        <w:rPr>
          <w:rFonts w:ascii="Times New Roman" w:eastAsia="Times New Roman" w:hAnsi="Times New Roman" w:cs="Times New Roman"/>
          <w:snapToGrid w:val="0"/>
          <w:sz w:val="24"/>
          <w:szCs w:val="24"/>
          <w:lang w:eastAsia="ru-RU"/>
        </w:rPr>
        <w:t>летрозолом</w:t>
      </w:r>
      <w:proofErr w:type="spellEnd"/>
      <w:r w:rsidRPr="007E6425">
        <w:rPr>
          <w:rFonts w:ascii="Times New Roman" w:eastAsia="Times New Roman" w:hAnsi="Times New Roman" w:cs="Times New Roman"/>
          <w:snapToGrid w:val="0"/>
          <w:sz w:val="24"/>
          <w:szCs w:val="24"/>
          <w:lang w:eastAsia="ru-RU"/>
        </w:rPr>
        <w:t xml:space="preserve"> и </w:t>
      </w:r>
      <w:proofErr w:type="spellStart"/>
      <w:r w:rsidRPr="007E6425">
        <w:rPr>
          <w:rFonts w:ascii="Times New Roman" w:eastAsia="Times New Roman" w:hAnsi="Times New Roman" w:cs="Times New Roman"/>
          <w:snapToGrid w:val="0"/>
          <w:sz w:val="24"/>
          <w:szCs w:val="24"/>
          <w:lang w:eastAsia="ru-RU"/>
        </w:rPr>
        <w:t>монотерапии</w:t>
      </w:r>
      <w:proofErr w:type="spellEnd"/>
      <w:r w:rsidRPr="007E6425">
        <w:rPr>
          <w:rFonts w:ascii="Times New Roman" w:eastAsia="Times New Roman" w:hAnsi="Times New Roman" w:cs="Times New Roman"/>
          <w:snapToGrid w:val="0"/>
          <w:sz w:val="24"/>
          <w:szCs w:val="24"/>
          <w:lang w:eastAsia="ru-RU"/>
        </w:rPr>
        <w:t xml:space="preserve"> тамоксифеном (медиана продолжительности </w:t>
      </w:r>
      <w:proofErr w:type="spellStart"/>
      <w:r w:rsidRPr="007E6425">
        <w:rPr>
          <w:rFonts w:ascii="Times New Roman" w:eastAsia="Times New Roman" w:hAnsi="Times New Roman" w:cs="Times New Roman"/>
          <w:snapToGrid w:val="0"/>
          <w:sz w:val="24"/>
          <w:szCs w:val="24"/>
          <w:lang w:eastAsia="ru-RU"/>
        </w:rPr>
        <w:t>адъювантной</w:t>
      </w:r>
      <w:proofErr w:type="spellEnd"/>
      <w:r w:rsidRPr="007E6425">
        <w:rPr>
          <w:rFonts w:ascii="Times New Roman" w:eastAsia="Times New Roman" w:hAnsi="Times New Roman" w:cs="Times New Roman"/>
          <w:snapToGrid w:val="0"/>
          <w:sz w:val="24"/>
          <w:szCs w:val="24"/>
          <w:lang w:eastAsia="ru-RU"/>
        </w:rPr>
        <w:t xml:space="preserve"> терапии 5 лет) представлены в Талице 5.</w:t>
      </w:r>
    </w:p>
    <w:p w14:paraId="395233D6"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b/>
          <w:snapToGrid w:val="0"/>
          <w:sz w:val="24"/>
          <w:szCs w:val="24"/>
          <w:lang w:eastAsia="ru-RU"/>
        </w:rPr>
        <w:t>Таблица 5</w:t>
      </w:r>
      <w:r w:rsidRPr="007E6425">
        <w:rPr>
          <w:rFonts w:ascii="Times New Roman" w:eastAsia="Times New Roman" w:hAnsi="Times New Roman" w:cs="Times New Roman"/>
          <w:b/>
          <w:snapToGrid w:val="0"/>
          <w:sz w:val="24"/>
          <w:szCs w:val="24"/>
          <w:lang w:eastAsia="ru-RU"/>
        </w:rPr>
        <w:tab/>
        <w:t xml:space="preserve">Анализ групп </w:t>
      </w:r>
      <w:proofErr w:type="spellStart"/>
      <w:r w:rsidRPr="007E6425">
        <w:rPr>
          <w:rFonts w:ascii="Times New Roman" w:eastAsia="Times New Roman" w:hAnsi="Times New Roman" w:cs="Times New Roman"/>
          <w:b/>
          <w:snapToGrid w:val="0"/>
          <w:sz w:val="24"/>
          <w:szCs w:val="24"/>
          <w:lang w:eastAsia="ru-RU"/>
        </w:rPr>
        <w:t>монотерапии</w:t>
      </w:r>
      <w:proofErr w:type="spellEnd"/>
      <w:r w:rsidRPr="007E6425">
        <w:rPr>
          <w:rFonts w:ascii="Times New Roman" w:eastAsia="Times New Roman" w:hAnsi="Times New Roman" w:cs="Times New Roman"/>
          <w:b/>
          <w:snapToGrid w:val="0"/>
          <w:sz w:val="24"/>
          <w:szCs w:val="24"/>
          <w:lang w:eastAsia="ru-RU"/>
        </w:rPr>
        <w:t xml:space="preserve">: </w:t>
      </w:r>
      <w:proofErr w:type="spellStart"/>
      <w:r w:rsidRPr="007E6425">
        <w:rPr>
          <w:rFonts w:ascii="Times New Roman" w:eastAsia="Times New Roman" w:hAnsi="Times New Roman" w:cs="Times New Roman"/>
          <w:b/>
          <w:snapToGrid w:val="0"/>
          <w:sz w:val="24"/>
          <w:szCs w:val="24"/>
          <w:lang w:eastAsia="ru-RU"/>
        </w:rPr>
        <w:t>виживание</w:t>
      </w:r>
      <w:proofErr w:type="spellEnd"/>
      <w:r w:rsidRPr="007E6425">
        <w:rPr>
          <w:rFonts w:ascii="Times New Roman" w:eastAsia="Times New Roman" w:hAnsi="Times New Roman" w:cs="Times New Roman"/>
          <w:b/>
          <w:snapToGrid w:val="0"/>
          <w:sz w:val="24"/>
          <w:szCs w:val="24"/>
          <w:lang w:eastAsia="ru-RU"/>
        </w:rPr>
        <w:t xml:space="preserve"> до рецидивов и общая выживаемость при медиане времени наблюдения 96 месяцев Популяция ITT)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4"/>
        <w:gridCol w:w="1507"/>
        <w:gridCol w:w="1857"/>
        <w:gridCol w:w="1956"/>
        <w:gridCol w:w="1509"/>
      </w:tblGrid>
      <w:tr w:rsidR="007E6425" w:rsidRPr="007E6425" w14:paraId="1601A820" w14:textId="77777777" w:rsidTr="002B682B">
        <w:tc>
          <w:tcPr>
            <w:tcW w:w="3261" w:type="dxa"/>
            <w:shd w:val="clear" w:color="auto" w:fill="auto"/>
          </w:tcPr>
          <w:p w14:paraId="219B7BA6"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p>
        </w:tc>
        <w:tc>
          <w:tcPr>
            <w:tcW w:w="979" w:type="dxa"/>
            <w:shd w:val="clear" w:color="auto" w:fill="auto"/>
          </w:tcPr>
          <w:p w14:paraId="64E36026"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b/>
                <w:snapToGrid w:val="0"/>
                <w:sz w:val="24"/>
                <w:szCs w:val="24"/>
                <w:lang w:eastAsia="ru-RU"/>
              </w:rPr>
            </w:pPr>
            <w:proofErr w:type="spellStart"/>
            <w:r w:rsidRPr="007E6425">
              <w:rPr>
                <w:rFonts w:ascii="Times New Roman" w:eastAsia="Times New Roman" w:hAnsi="Times New Roman" w:cs="Times New Roman"/>
                <w:b/>
                <w:snapToGrid w:val="0"/>
                <w:sz w:val="24"/>
                <w:szCs w:val="24"/>
                <w:lang w:eastAsia="ru-RU"/>
              </w:rPr>
              <w:t>Летрозол</w:t>
            </w:r>
            <w:proofErr w:type="spellEnd"/>
          </w:p>
          <w:p w14:paraId="01EC91A3"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b/>
                <w:snapToGrid w:val="0"/>
                <w:sz w:val="24"/>
                <w:szCs w:val="24"/>
                <w:lang w:eastAsia="ru-RU"/>
              </w:rPr>
            </w:pPr>
            <w:r w:rsidRPr="007E6425">
              <w:rPr>
                <w:rFonts w:ascii="Times New Roman" w:eastAsia="Times New Roman" w:hAnsi="Times New Roman" w:cs="Times New Roman"/>
                <w:b/>
                <w:snapToGrid w:val="0"/>
                <w:sz w:val="24"/>
                <w:szCs w:val="24"/>
                <w:lang w:eastAsia="ru-RU"/>
              </w:rPr>
              <w:t>(</w:t>
            </w:r>
            <w:r w:rsidRPr="007E6425">
              <w:rPr>
                <w:rFonts w:ascii="Times New Roman" w:eastAsia="Times New Roman" w:hAnsi="Times New Roman" w:cs="Times New Roman"/>
                <w:b/>
                <w:bCs/>
                <w:snapToGrid w:val="0"/>
                <w:sz w:val="24"/>
                <w:szCs w:val="24"/>
                <w:lang w:eastAsia="ru-RU"/>
              </w:rPr>
              <w:t>N=2463)</w:t>
            </w:r>
          </w:p>
        </w:tc>
        <w:tc>
          <w:tcPr>
            <w:tcW w:w="1574" w:type="dxa"/>
            <w:shd w:val="clear" w:color="auto" w:fill="auto"/>
          </w:tcPr>
          <w:p w14:paraId="6B9BC90B"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b/>
                <w:snapToGrid w:val="0"/>
                <w:sz w:val="24"/>
                <w:szCs w:val="24"/>
                <w:lang w:eastAsia="ru-RU"/>
              </w:rPr>
            </w:pPr>
            <w:r w:rsidRPr="007E6425">
              <w:rPr>
                <w:rFonts w:ascii="Times New Roman" w:eastAsia="Times New Roman" w:hAnsi="Times New Roman" w:cs="Times New Roman"/>
                <w:b/>
                <w:snapToGrid w:val="0"/>
                <w:sz w:val="24"/>
                <w:szCs w:val="24"/>
                <w:lang w:eastAsia="ru-RU"/>
              </w:rPr>
              <w:t>Тамоксифен</w:t>
            </w:r>
          </w:p>
          <w:p w14:paraId="527C98FE"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b/>
                <w:snapToGrid w:val="0"/>
                <w:sz w:val="24"/>
                <w:szCs w:val="24"/>
                <w:lang w:eastAsia="ru-RU"/>
              </w:rPr>
            </w:pPr>
            <w:r w:rsidRPr="007E6425">
              <w:rPr>
                <w:rFonts w:ascii="Times New Roman" w:eastAsia="Times New Roman" w:hAnsi="Times New Roman" w:cs="Times New Roman"/>
                <w:b/>
                <w:snapToGrid w:val="0"/>
                <w:sz w:val="24"/>
                <w:szCs w:val="24"/>
                <w:lang w:eastAsia="ru-RU"/>
              </w:rPr>
              <w:t>(</w:t>
            </w:r>
            <w:r w:rsidRPr="007E6425">
              <w:rPr>
                <w:rFonts w:ascii="Times New Roman" w:eastAsia="Times New Roman" w:hAnsi="Times New Roman" w:cs="Times New Roman"/>
                <w:b/>
                <w:bCs/>
                <w:snapToGrid w:val="0"/>
                <w:sz w:val="24"/>
                <w:szCs w:val="24"/>
                <w:lang w:eastAsia="ru-RU"/>
              </w:rPr>
              <w:t>N=2459)</w:t>
            </w:r>
          </w:p>
        </w:tc>
        <w:tc>
          <w:tcPr>
            <w:tcW w:w="2408" w:type="dxa"/>
            <w:shd w:val="clear" w:color="auto" w:fill="auto"/>
          </w:tcPr>
          <w:p w14:paraId="11062BB5"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b/>
                <w:snapToGrid w:val="0"/>
                <w:sz w:val="24"/>
                <w:szCs w:val="24"/>
                <w:lang w:eastAsia="ru-RU"/>
              </w:rPr>
            </w:pPr>
            <w:r w:rsidRPr="007E6425">
              <w:rPr>
                <w:rFonts w:ascii="Times New Roman" w:eastAsia="Times New Roman" w:hAnsi="Times New Roman" w:cs="Times New Roman"/>
                <w:b/>
                <w:snapToGrid w:val="0"/>
                <w:sz w:val="24"/>
                <w:szCs w:val="24"/>
                <w:lang w:eastAsia="ru-RU"/>
              </w:rPr>
              <w:t>Отношение рисков</w:t>
            </w:r>
            <w:r w:rsidRPr="007E6425">
              <w:rPr>
                <w:rFonts w:ascii="Times New Roman" w:eastAsia="Times New Roman" w:hAnsi="Times New Roman" w:cs="Times New Roman"/>
                <w:b/>
                <w:snapToGrid w:val="0"/>
                <w:sz w:val="24"/>
                <w:szCs w:val="24"/>
                <w:vertAlign w:val="superscript"/>
                <w:lang w:eastAsia="ru-RU"/>
              </w:rPr>
              <w:t>1</w:t>
            </w:r>
            <w:r w:rsidRPr="007E6425">
              <w:rPr>
                <w:rFonts w:ascii="Times New Roman" w:eastAsia="Times New Roman" w:hAnsi="Times New Roman" w:cs="Times New Roman"/>
                <w:b/>
                <w:snapToGrid w:val="0"/>
                <w:sz w:val="24"/>
                <w:szCs w:val="24"/>
                <w:lang w:eastAsia="ru-RU"/>
              </w:rPr>
              <w:t xml:space="preserve"> </w:t>
            </w:r>
          </w:p>
          <w:p w14:paraId="34C773A7"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b/>
                <w:snapToGrid w:val="0"/>
                <w:sz w:val="24"/>
                <w:szCs w:val="24"/>
                <w:lang w:eastAsia="ru-RU"/>
              </w:rPr>
            </w:pPr>
            <w:r w:rsidRPr="007E6425">
              <w:rPr>
                <w:rFonts w:ascii="Times New Roman" w:eastAsia="Times New Roman" w:hAnsi="Times New Roman" w:cs="Times New Roman"/>
                <w:b/>
                <w:snapToGrid w:val="0"/>
                <w:sz w:val="24"/>
                <w:szCs w:val="24"/>
                <w:lang w:eastAsia="ru-RU"/>
              </w:rPr>
              <w:t>(95% ДИ),</w:t>
            </w:r>
          </w:p>
        </w:tc>
        <w:tc>
          <w:tcPr>
            <w:tcW w:w="1226" w:type="dxa"/>
            <w:shd w:val="clear" w:color="auto" w:fill="auto"/>
          </w:tcPr>
          <w:p w14:paraId="62ACB0A5"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b/>
                <w:snapToGrid w:val="0"/>
                <w:sz w:val="24"/>
                <w:szCs w:val="24"/>
                <w:lang w:eastAsia="ru-RU"/>
              </w:rPr>
            </w:pPr>
            <w:r w:rsidRPr="007E6425">
              <w:rPr>
                <w:rFonts w:ascii="Times New Roman" w:eastAsia="Times New Roman" w:hAnsi="Times New Roman" w:cs="Times New Roman"/>
                <w:b/>
                <w:snapToGrid w:val="0"/>
                <w:sz w:val="24"/>
                <w:szCs w:val="24"/>
                <w:lang w:eastAsia="ru-RU"/>
              </w:rPr>
              <w:t>Значение</w:t>
            </w:r>
          </w:p>
        </w:tc>
      </w:tr>
      <w:tr w:rsidR="007E6425" w:rsidRPr="007E6425" w14:paraId="124371B1" w14:textId="77777777" w:rsidTr="002B682B">
        <w:tc>
          <w:tcPr>
            <w:tcW w:w="3261" w:type="dxa"/>
            <w:shd w:val="clear" w:color="auto" w:fill="auto"/>
          </w:tcPr>
          <w:p w14:paraId="589B829B" w14:textId="77777777" w:rsidR="007E6425" w:rsidRPr="007E6425" w:rsidRDefault="007E6425" w:rsidP="00F602A1">
            <w:pPr>
              <w:autoSpaceDE w:val="0"/>
              <w:autoSpaceDN w:val="0"/>
              <w:adjustRightInd w:val="0"/>
              <w:spacing w:after="0" w:line="240" w:lineRule="auto"/>
              <w:ind w:right="283"/>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Выживание до рецидивов (первичная точка)</w:t>
            </w:r>
            <w:r w:rsidRPr="007E6425">
              <w:rPr>
                <w:rFonts w:ascii="Times New Roman" w:eastAsia="Times New Roman" w:hAnsi="Times New Roman" w:cs="Times New Roman"/>
                <w:snapToGrid w:val="0"/>
                <w:sz w:val="24"/>
                <w:szCs w:val="24"/>
                <w:vertAlign w:val="superscript"/>
                <w:lang w:eastAsia="ru-RU"/>
              </w:rPr>
              <w:t>2</w:t>
            </w:r>
          </w:p>
        </w:tc>
        <w:tc>
          <w:tcPr>
            <w:tcW w:w="979" w:type="dxa"/>
            <w:shd w:val="clear" w:color="auto" w:fill="auto"/>
          </w:tcPr>
          <w:p w14:paraId="60EE49E0"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626</w:t>
            </w:r>
          </w:p>
        </w:tc>
        <w:tc>
          <w:tcPr>
            <w:tcW w:w="1574" w:type="dxa"/>
            <w:shd w:val="clear" w:color="auto" w:fill="auto"/>
          </w:tcPr>
          <w:p w14:paraId="309500D9"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698 </w:t>
            </w:r>
          </w:p>
        </w:tc>
        <w:tc>
          <w:tcPr>
            <w:tcW w:w="2408" w:type="dxa"/>
            <w:shd w:val="clear" w:color="auto" w:fill="auto"/>
          </w:tcPr>
          <w:p w14:paraId="5F4E62F1"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0.87 (0.78, 0.97) </w:t>
            </w:r>
          </w:p>
        </w:tc>
        <w:tc>
          <w:tcPr>
            <w:tcW w:w="1226" w:type="dxa"/>
            <w:shd w:val="clear" w:color="auto" w:fill="auto"/>
          </w:tcPr>
          <w:p w14:paraId="5D3696C8"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0.01 </w:t>
            </w:r>
          </w:p>
        </w:tc>
      </w:tr>
      <w:tr w:rsidR="007E6425" w:rsidRPr="007E6425" w14:paraId="28B09913" w14:textId="77777777" w:rsidTr="002B682B">
        <w:tc>
          <w:tcPr>
            <w:tcW w:w="3261" w:type="dxa"/>
            <w:shd w:val="clear" w:color="auto" w:fill="auto"/>
          </w:tcPr>
          <w:p w14:paraId="406D5084" w14:textId="77777777" w:rsidR="007E6425" w:rsidRPr="007E6425" w:rsidRDefault="007E6425" w:rsidP="00F602A1">
            <w:pPr>
              <w:autoSpaceDE w:val="0"/>
              <w:autoSpaceDN w:val="0"/>
              <w:adjustRightInd w:val="0"/>
              <w:spacing w:after="0" w:line="240" w:lineRule="auto"/>
              <w:ind w:right="283"/>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Время до отдалённых метастазов (вторичная точка) </w:t>
            </w:r>
          </w:p>
        </w:tc>
        <w:tc>
          <w:tcPr>
            <w:tcW w:w="979" w:type="dxa"/>
            <w:shd w:val="clear" w:color="auto" w:fill="auto"/>
          </w:tcPr>
          <w:p w14:paraId="3CB6C127"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301</w:t>
            </w:r>
          </w:p>
        </w:tc>
        <w:tc>
          <w:tcPr>
            <w:tcW w:w="1574" w:type="dxa"/>
            <w:shd w:val="clear" w:color="auto" w:fill="auto"/>
          </w:tcPr>
          <w:p w14:paraId="4A1CCFE8"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342</w:t>
            </w:r>
          </w:p>
        </w:tc>
        <w:tc>
          <w:tcPr>
            <w:tcW w:w="2408" w:type="dxa"/>
            <w:shd w:val="clear" w:color="auto" w:fill="auto"/>
          </w:tcPr>
          <w:p w14:paraId="4E60CFD9"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0.86 (0.74, 1.01) </w:t>
            </w:r>
          </w:p>
        </w:tc>
        <w:tc>
          <w:tcPr>
            <w:tcW w:w="1226" w:type="dxa"/>
            <w:shd w:val="clear" w:color="auto" w:fill="auto"/>
          </w:tcPr>
          <w:p w14:paraId="73128621"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0.06 </w:t>
            </w:r>
          </w:p>
        </w:tc>
      </w:tr>
      <w:tr w:rsidR="007E6425" w:rsidRPr="007E6425" w14:paraId="3FFC2E5C" w14:textId="77777777" w:rsidTr="002B682B">
        <w:tc>
          <w:tcPr>
            <w:tcW w:w="3261" w:type="dxa"/>
            <w:shd w:val="clear" w:color="auto" w:fill="auto"/>
          </w:tcPr>
          <w:p w14:paraId="19ED35C3" w14:textId="77777777" w:rsidR="007E6425" w:rsidRPr="007E6425" w:rsidRDefault="007E6425" w:rsidP="00F602A1">
            <w:pPr>
              <w:autoSpaceDE w:val="0"/>
              <w:autoSpaceDN w:val="0"/>
              <w:adjustRightInd w:val="0"/>
              <w:spacing w:after="0" w:line="240" w:lineRule="auto"/>
              <w:ind w:right="283"/>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Общая выживаемость (вторичная точка) – случаи смерти</w:t>
            </w:r>
          </w:p>
        </w:tc>
        <w:tc>
          <w:tcPr>
            <w:tcW w:w="979" w:type="dxa"/>
            <w:shd w:val="clear" w:color="auto" w:fill="auto"/>
          </w:tcPr>
          <w:p w14:paraId="3C3434BC"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393 </w:t>
            </w:r>
          </w:p>
        </w:tc>
        <w:tc>
          <w:tcPr>
            <w:tcW w:w="1574" w:type="dxa"/>
            <w:shd w:val="clear" w:color="auto" w:fill="auto"/>
          </w:tcPr>
          <w:p w14:paraId="39D7E14C"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436</w:t>
            </w:r>
          </w:p>
        </w:tc>
        <w:tc>
          <w:tcPr>
            <w:tcW w:w="2408" w:type="dxa"/>
            <w:shd w:val="clear" w:color="auto" w:fill="auto"/>
          </w:tcPr>
          <w:p w14:paraId="29EAE1A6"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0.89 (0.77, 1.02) </w:t>
            </w:r>
          </w:p>
        </w:tc>
        <w:tc>
          <w:tcPr>
            <w:tcW w:w="1226" w:type="dxa"/>
            <w:shd w:val="clear" w:color="auto" w:fill="auto"/>
          </w:tcPr>
          <w:p w14:paraId="32DF6A42"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0.08 </w:t>
            </w:r>
          </w:p>
        </w:tc>
      </w:tr>
      <w:tr w:rsidR="007E6425" w:rsidRPr="007E6425" w14:paraId="0D012FAC" w14:textId="77777777" w:rsidTr="002B682B">
        <w:tc>
          <w:tcPr>
            <w:tcW w:w="3261" w:type="dxa"/>
            <w:shd w:val="clear" w:color="auto" w:fill="auto"/>
          </w:tcPr>
          <w:p w14:paraId="488B44BB" w14:textId="77777777" w:rsidR="007E6425" w:rsidRPr="007E6425" w:rsidRDefault="007E6425" w:rsidP="00F602A1">
            <w:pPr>
              <w:autoSpaceDE w:val="0"/>
              <w:autoSpaceDN w:val="0"/>
              <w:adjustRightInd w:val="0"/>
              <w:spacing w:after="0" w:line="240" w:lineRule="auto"/>
              <w:ind w:right="283"/>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Цензурированные данные для ВДР</w:t>
            </w:r>
            <w:r w:rsidRPr="007E6425">
              <w:rPr>
                <w:rFonts w:ascii="Times New Roman" w:eastAsia="Times New Roman" w:hAnsi="Times New Roman" w:cs="Times New Roman"/>
                <w:snapToGrid w:val="0"/>
                <w:sz w:val="24"/>
                <w:szCs w:val="24"/>
                <w:vertAlign w:val="superscript"/>
                <w:lang w:eastAsia="ru-RU"/>
              </w:rPr>
              <w:t>3</w:t>
            </w:r>
          </w:p>
        </w:tc>
        <w:tc>
          <w:tcPr>
            <w:tcW w:w="979" w:type="dxa"/>
            <w:shd w:val="clear" w:color="auto" w:fill="auto"/>
          </w:tcPr>
          <w:p w14:paraId="21D89473"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626 </w:t>
            </w:r>
          </w:p>
        </w:tc>
        <w:tc>
          <w:tcPr>
            <w:tcW w:w="1574" w:type="dxa"/>
            <w:shd w:val="clear" w:color="auto" w:fill="auto"/>
          </w:tcPr>
          <w:p w14:paraId="0CC3C371"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649</w:t>
            </w:r>
          </w:p>
        </w:tc>
        <w:tc>
          <w:tcPr>
            <w:tcW w:w="2408" w:type="dxa"/>
            <w:shd w:val="clear" w:color="auto" w:fill="auto"/>
          </w:tcPr>
          <w:p w14:paraId="4D2D7A5A"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0.83 (0.74, 0.92) </w:t>
            </w:r>
          </w:p>
        </w:tc>
        <w:tc>
          <w:tcPr>
            <w:tcW w:w="1226" w:type="dxa"/>
            <w:shd w:val="clear" w:color="auto" w:fill="auto"/>
          </w:tcPr>
          <w:p w14:paraId="64BBA04A"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p>
        </w:tc>
      </w:tr>
      <w:tr w:rsidR="007E6425" w:rsidRPr="007E6425" w14:paraId="6330435F" w14:textId="77777777" w:rsidTr="002B682B">
        <w:tc>
          <w:tcPr>
            <w:tcW w:w="3261" w:type="dxa"/>
            <w:shd w:val="clear" w:color="auto" w:fill="auto"/>
          </w:tcPr>
          <w:p w14:paraId="018E8579" w14:textId="77777777" w:rsidR="007E6425" w:rsidRPr="007E6425" w:rsidRDefault="007E6425" w:rsidP="00F602A1">
            <w:pPr>
              <w:autoSpaceDE w:val="0"/>
              <w:autoSpaceDN w:val="0"/>
              <w:adjustRightInd w:val="0"/>
              <w:spacing w:after="0" w:line="240" w:lineRule="auto"/>
              <w:ind w:right="283"/>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Цензурированные данные для ОВ</w:t>
            </w:r>
            <w:r w:rsidRPr="007E6425">
              <w:rPr>
                <w:rFonts w:ascii="Times New Roman" w:eastAsia="Times New Roman" w:hAnsi="Times New Roman" w:cs="Times New Roman"/>
                <w:snapToGrid w:val="0"/>
                <w:sz w:val="24"/>
                <w:szCs w:val="24"/>
                <w:vertAlign w:val="superscript"/>
                <w:lang w:eastAsia="ru-RU"/>
              </w:rPr>
              <w:t>3</w:t>
            </w:r>
          </w:p>
        </w:tc>
        <w:tc>
          <w:tcPr>
            <w:tcW w:w="979" w:type="dxa"/>
            <w:shd w:val="clear" w:color="auto" w:fill="auto"/>
          </w:tcPr>
          <w:p w14:paraId="53A317F9"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393 </w:t>
            </w:r>
          </w:p>
        </w:tc>
        <w:tc>
          <w:tcPr>
            <w:tcW w:w="1574" w:type="dxa"/>
            <w:shd w:val="clear" w:color="auto" w:fill="auto"/>
          </w:tcPr>
          <w:p w14:paraId="32DB7AF5"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419 </w:t>
            </w:r>
          </w:p>
        </w:tc>
        <w:tc>
          <w:tcPr>
            <w:tcW w:w="2408" w:type="dxa"/>
            <w:shd w:val="clear" w:color="auto" w:fill="auto"/>
          </w:tcPr>
          <w:p w14:paraId="2908E398"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0.81 (0.70, 0.93) </w:t>
            </w:r>
          </w:p>
        </w:tc>
        <w:tc>
          <w:tcPr>
            <w:tcW w:w="1226" w:type="dxa"/>
            <w:shd w:val="clear" w:color="auto" w:fill="auto"/>
          </w:tcPr>
          <w:p w14:paraId="551008D9"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p>
        </w:tc>
      </w:tr>
    </w:tbl>
    <w:p w14:paraId="4D958BD9"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0"/>
          <w:szCs w:val="20"/>
          <w:lang w:eastAsia="ru-RU"/>
        </w:rPr>
      </w:pPr>
      <w:r w:rsidRPr="007E6425">
        <w:rPr>
          <w:rFonts w:ascii="Times New Roman" w:eastAsia="Times New Roman" w:hAnsi="Times New Roman" w:cs="Times New Roman"/>
          <w:snapToGrid w:val="0"/>
          <w:sz w:val="20"/>
          <w:szCs w:val="20"/>
          <w:vertAlign w:val="superscript"/>
          <w:lang w:eastAsia="ru-RU"/>
        </w:rPr>
        <w:t>1</w:t>
      </w:r>
      <w:r w:rsidRPr="007E6425">
        <w:rPr>
          <w:rFonts w:ascii="Times New Roman" w:eastAsia="Times New Roman" w:hAnsi="Times New Roman" w:cs="Times New Roman"/>
          <w:snapToGrid w:val="0"/>
          <w:sz w:val="20"/>
          <w:szCs w:val="20"/>
          <w:lang w:eastAsia="ru-RU"/>
        </w:rPr>
        <w:t xml:space="preserve"> Лог-ранговый критерий, стратифицированный по группе рандомизации и применению химиотерапии (Да/Нет)</w:t>
      </w:r>
    </w:p>
    <w:p w14:paraId="7D22D2BA" w14:textId="77777777" w:rsidR="007E6425" w:rsidRPr="007E6425" w:rsidRDefault="007E6425" w:rsidP="00F602A1">
      <w:pPr>
        <w:autoSpaceDE w:val="0"/>
        <w:autoSpaceDN w:val="0"/>
        <w:adjustRightInd w:val="0"/>
        <w:spacing w:after="0" w:line="240" w:lineRule="auto"/>
        <w:ind w:right="283"/>
        <w:contextualSpacing/>
        <w:jc w:val="both"/>
        <w:rPr>
          <w:rFonts w:ascii="Times New Roman" w:eastAsia="Times New Roman" w:hAnsi="Times New Roman" w:cs="Times New Roman"/>
          <w:snapToGrid w:val="0"/>
          <w:sz w:val="20"/>
          <w:szCs w:val="20"/>
          <w:lang w:eastAsia="ru-RU"/>
        </w:rPr>
      </w:pPr>
      <w:r w:rsidRPr="007E6425">
        <w:rPr>
          <w:rFonts w:ascii="Times New Roman" w:eastAsia="Times New Roman" w:hAnsi="Times New Roman" w:cs="Times New Roman"/>
          <w:snapToGrid w:val="0"/>
          <w:sz w:val="20"/>
          <w:szCs w:val="20"/>
          <w:vertAlign w:val="superscript"/>
          <w:lang w:eastAsia="ru-RU"/>
        </w:rPr>
        <w:t>2</w:t>
      </w:r>
      <w:r w:rsidRPr="007E6425">
        <w:rPr>
          <w:rFonts w:ascii="Times New Roman" w:eastAsia="Times New Roman" w:hAnsi="Times New Roman" w:cs="Times New Roman"/>
          <w:snapToGrid w:val="0"/>
          <w:sz w:val="20"/>
          <w:szCs w:val="20"/>
          <w:lang w:eastAsia="ru-RU"/>
        </w:rPr>
        <w:t xml:space="preserve"> ВДР: </w:t>
      </w:r>
      <w:proofErr w:type="spellStart"/>
      <w:r w:rsidRPr="007E6425">
        <w:rPr>
          <w:rFonts w:ascii="Times New Roman" w:eastAsia="Times New Roman" w:hAnsi="Times New Roman" w:cs="Times New Roman"/>
          <w:snapToGrid w:val="0"/>
          <w:sz w:val="20"/>
          <w:szCs w:val="20"/>
          <w:lang w:eastAsia="ru-RU"/>
        </w:rPr>
        <w:t>локорегиональные</w:t>
      </w:r>
      <w:proofErr w:type="spellEnd"/>
      <w:r w:rsidRPr="007E6425">
        <w:rPr>
          <w:rFonts w:ascii="Times New Roman" w:eastAsia="Times New Roman" w:hAnsi="Times New Roman" w:cs="Times New Roman"/>
          <w:snapToGrid w:val="0"/>
          <w:sz w:val="20"/>
          <w:szCs w:val="20"/>
          <w:lang w:eastAsia="ru-RU"/>
        </w:rPr>
        <w:t xml:space="preserve"> рецидивы, отдаленные метастазы, инвазивный рак контралатеральной молочной железы, второе первичное новообразование (не в молочной железе), смерть по любым причинам, но без наличия злокачественных новообразований</w:t>
      </w:r>
    </w:p>
    <w:p w14:paraId="3BFB340A" w14:textId="77777777" w:rsidR="007E6425" w:rsidRPr="007E6425" w:rsidRDefault="007E6425" w:rsidP="00F602A1">
      <w:pPr>
        <w:autoSpaceDE w:val="0"/>
        <w:autoSpaceDN w:val="0"/>
        <w:adjustRightInd w:val="0"/>
        <w:spacing w:after="0" w:line="240" w:lineRule="auto"/>
        <w:ind w:right="283"/>
        <w:contextualSpacing/>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0"/>
          <w:szCs w:val="20"/>
          <w:lang w:eastAsia="ru-RU"/>
        </w:rPr>
        <w:t xml:space="preserve">3 Наблюдения в группе тамоксифена, цензурированные по дате селективного переключения на </w:t>
      </w:r>
      <w:proofErr w:type="spellStart"/>
      <w:r w:rsidRPr="007E6425">
        <w:rPr>
          <w:rFonts w:ascii="Times New Roman" w:eastAsia="Times New Roman" w:hAnsi="Times New Roman" w:cs="Times New Roman"/>
          <w:snapToGrid w:val="0"/>
          <w:sz w:val="20"/>
          <w:szCs w:val="20"/>
          <w:lang w:eastAsia="ru-RU"/>
        </w:rPr>
        <w:t>летр</w:t>
      </w:r>
      <w:r w:rsidRPr="007E6425">
        <w:rPr>
          <w:rFonts w:ascii="Times New Roman" w:eastAsia="Times New Roman" w:hAnsi="Times New Roman" w:cs="Times New Roman"/>
          <w:snapToGrid w:val="0"/>
          <w:color w:val="FF0000"/>
          <w:sz w:val="20"/>
          <w:szCs w:val="20"/>
          <w:lang w:eastAsia="ru-RU"/>
        </w:rPr>
        <w:t>о</w:t>
      </w:r>
      <w:r w:rsidRPr="007E6425">
        <w:rPr>
          <w:rFonts w:ascii="Times New Roman" w:eastAsia="Times New Roman" w:hAnsi="Times New Roman" w:cs="Times New Roman"/>
          <w:snapToGrid w:val="0"/>
          <w:sz w:val="20"/>
          <w:szCs w:val="20"/>
          <w:lang w:eastAsia="ru-RU"/>
        </w:rPr>
        <w:t>зол</w:t>
      </w:r>
      <w:proofErr w:type="spellEnd"/>
    </w:p>
    <w:p w14:paraId="2F0830E3" w14:textId="77777777" w:rsidR="007E6425" w:rsidRPr="007E6425" w:rsidRDefault="007E6425" w:rsidP="00F602A1">
      <w:pPr>
        <w:autoSpaceDE w:val="0"/>
        <w:autoSpaceDN w:val="0"/>
        <w:adjustRightInd w:val="0"/>
        <w:spacing w:after="0" w:line="240" w:lineRule="auto"/>
        <w:ind w:right="283"/>
        <w:contextualSpacing/>
        <w:jc w:val="both"/>
        <w:rPr>
          <w:rFonts w:ascii="Times New Roman" w:eastAsia="Times New Roman" w:hAnsi="Times New Roman" w:cs="Times New Roman"/>
          <w:i/>
          <w:snapToGrid w:val="0"/>
          <w:sz w:val="24"/>
          <w:szCs w:val="24"/>
          <w:lang w:eastAsia="ru-RU"/>
        </w:rPr>
      </w:pPr>
      <w:r w:rsidRPr="007E6425">
        <w:rPr>
          <w:rFonts w:ascii="Times New Roman" w:eastAsia="Times New Roman" w:hAnsi="Times New Roman" w:cs="Times New Roman"/>
          <w:i/>
          <w:snapToGrid w:val="0"/>
          <w:sz w:val="24"/>
          <w:szCs w:val="24"/>
          <w:lang w:eastAsia="ru-RU"/>
        </w:rPr>
        <w:t>Анализ последовательной терапии (АПТ)</w:t>
      </w:r>
    </w:p>
    <w:p w14:paraId="6848325A" w14:textId="77777777" w:rsidR="007E6425" w:rsidRPr="007E6425" w:rsidRDefault="007E6425" w:rsidP="00F602A1">
      <w:pPr>
        <w:autoSpaceDE w:val="0"/>
        <w:autoSpaceDN w:val="0"/>
        <w:adjustRightInd w:val="0"/>
        <w:spacing w:after="0" w:line="240" w:lineRule="auto"/>
        <w:ind w:right="283"/>
        <w:contextualSpacing/>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АПТ рассматривает вторую первичную точку исследования BIG 1-98, то есть вопрос о том, является ли последовательная терапия тамоксифеном и </w:t>
      </w:r>
      <w:proofErr w:type="spellStart"/>
      <w:r w:rsidRPr="007E6425">
        <w:rPr>
          <w:rFonts w:ascii="Times New Roman" w:eastAsia="Times New Roman" w:hAnsi="Times New Roman" w:cs="Times New Roman"/>
          <w:snapToGrid w:val="0"/>
          <w:sz w:val="24"/>
          <w:szCs w:val="24"/>
          <w:lang w:eastAsia="ru-RU"/>
        </w:rPr>
        <w:t>летрозолом</w:t>
      </w:r>
      <w:proofErr w:type="spellEnd"/>
      <w:r w:rsidRPr="007E6425">
        <w:rPr>
          <w:rFonts w:ascii="Times New Roman" w:eastAsia="Times New Roman" w:hAnsi="Times New Roman" w:cs="Times New Roman"/>
          <w:snapToGrid w:val="0"/>
          <w:sz w:val="24"/>
          <w:szCs w:val="24"/>
          <w:lang w:eastAsia="ru-RU"/>
        </w:rPr>
        <w:t xml:space="preserve"> более эффективной, чем </w:t>
      </w:r>
      <w:proofErr w:type="spellStart"/>
      <w:r w:rsidRPr="007E6425">
        <w:rPr>
          <w:rFonts w:ascii="Times New Roman" w:eastAsia="Times New Roman" w:hAnsi="Times New Roman" w:cs="Times New Roman"/>
          <w:snapToGrid w:val="0"/>
          <w:sz w:val="24"/>
          <w:szCs w:val="24"/>
          <w:lang w:eastAsia="ru-RU"/>
        </w:rPr>
        <w:t>монотерапия</w:t>
      </w:r>
      <w:proofErr w:type="spellEnd"/>
      <w:r w:rsidRPr="007E6425">
        <w:rPr>
          <w:rFonts w:ascii="Times New Roman" w:eastAsia="Times New Roman" w:hAnsi="Times New Roman" w:cs="Times New Roman"/>
          <w:snapToGrid w:val="0"/>
          <w:sz w:val="24"/>
          <w:szCs w:val="24"/>
          <w:lang w:eastAsia="ru-RU"/>
        </w:rPr>
        <w:t xml:space="preserve">. Не было выявлено статистически достоверных различий, по сравнению с </w:t>
      </w:r>
      <w:proofErr w:type="spellStart"/>
      <w:r w:rsidRPr="007E6425">
        <w:rPr>
          <w:rFonts w:ascii="Times New Roman" w:eastAsia="Times New Roman" w:hAnsi="Times New Roman" w:cs="Times New Roman"/>
          <w:snapToGrid w:val="0"/>
          <w:sz w:val="24"/>
          <w:szCs w:val="24"/>
          <w:lang w:eastAsia="ru-RU"/>
        </w:rPr>
        <w:t>монотерапией</w:t>
      </w:r>
      <w:proofErr w:type="spellEnd"/>
      <w:r w:rsidRPr="007E6425">
        <w:rPr>
          <w:rFonts w:ascii="Times New Roman" w:eastAsia="Times New Roman" w:hAnsi="Times New Roman" w:cs="Times New Roman"/>
          <w:snapToGrid w:val="0"/>
          <w:sz w:val="24"/>
          <w:szCs w:val="24"/>
          <w:lang w:eastAsia="ru-RU"/>
        </w:rPr>
        <w:t>, по параметрам ВДР, ОВ, СВБЗ и ОВБЗ.</w:t>
      </w:r>
    </w:p>
    <w:p w14:paraId="34C0A83F" w14:textId="77777777" w:rsidR="007E6425" w:rsidRPr="007E6425" w:rsidRDefault="007E6425" w:rsidP="00F602A1">
      <w:pPr>
        <w:autoSpaceDE w:val="0"/>
        <w:autoSpaceDN w:val="0"/>
        <w:adjustRightInd w:val="0"/>
        <w:spacing w:after="0" w:line="240" w:lineRule="auto"/>
        <w:ind w:right="283"/>
        <w:contextualSpacing/>
        <w:jc w:val="both"/>
        <w:rPr>
          <w:rFonts w:ascii="Times New Roman" w:eastAsia="Times New Roman" w:hAnsi="Times New Roman" w:cs="Times New Roman"/>
          <w:b/>
          <w:snapToGrid w:val="0"/>
          <w:sz w:val="24"/>
          <w:szCs w:val="24"/>
          <w:lang w:eastAsia="ru-RU"/>
        </w:rPr>
      </w:pPr>
      <w:r w:rsidRPr="007E6425">
        <w:rPr>
          <w:rFonts w:ascii="Times New Roman" w:eastAsia="Times New Roman" w:hAnsi="Times New Roman" w:cs="Times New Roman"/>
          <w:b/>
          <w:snapToGrid w:val="0"/>
          <w:sz w:val="24"/>
          <w:szCs w:val="24"/>
          <w:lang w:eastAsia="ru-RU"/>
        </w:rPr>
        <w:lastRenderedPageBreak/>
        <w:t xml:space="preserve">Таблица 6 Анализ эффективности последовательной терапии с точки зрения выживаемости до рецидива, когда в качестве первого эндокринного препарата использовался </w:t>
      </w:r>
      <w:proofErr w:type="spellStart"/>
      <w:r w:rsidRPr="007E6425">
        <w:rPr>
          <w:rFonts w:ascii="Times New Roman" w:eastAsia="Times New Roman" w:hAnsi="Times New Roman" w:cs="Times New Roman"/>
          <w:b/>
          <w:snapToGrid w:val="0"/>
          <w:sz w:val="24"/>
          <w:szCs w:val="24"/>
          <w:lang w:eastAsia="ru-RU"/>
        </w:rPr>
        <w:t>летрозол</w:t>
      </w:r>
      <w:proofErr w:type="spellEnd"/>
      <w:r w:rsidRPr="007E6425">
        <w:rPr>
          <w:rFonts w:ascii="Times New Roman" w:eastAsia="Times New Roman" w:hAnsi="Times New Roman" w:cs="Times New Roman"/>
          <w:b/>
          <w:snapToGrid w:val="0"/>
          <w:sz w:val="24"/>
          <w:szCs w:val="24"/>
          <w:lang w:eastAsia="ru-RU"/>
        </w:rPr>
        <w:t xml:space="preserve"> (популяция АПТ)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979"/>
        <w:gridCol w:w="1782"/>
        <w:gridCol w:w="1755"/>
        <w:gridCol w:w="1318"/>
        <w:gridCol w:w="1744"/>
      </w:tblGrid>
      <w:tr w:rsidR="007E6425" w:rsidRPr="007E6425" w14:paraId="1F9F6AC8" w14:textId="77777777" w:rsidTr="002B682B">
        <w:tc>
          <w:tcPr>
            <w:tcW w:w="1985" w:type="dxa"/>
            <w:shd w:val="clear" w:color="auto" w:fill="auto"/>
          </w:tcPr>
          <w:p w14:paraId="5E0354E6"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p>
        </w:tc>
        <w:tc>
          <w:tcPr>
            <w:tcW w:w="372" w:type="dxa"/>
            <w:shd w:val="clear" w:color="auto" w:fill="auto"/>
          </w:tcPr>
          <w:p w14:paraId="40DCD77E"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b/>
                <w:bCs/>
                <w:snapToGrid w:val="0"/>
                <w:sz w:val="24"/>
                <w:szCs w:val="24"/>
                <w:lang w:eastAsia="ru-RU"/>
              </w:rPr>
              <w:t>N</w:t>
            </w:r>
          </w:p>
        </w:tc>
        <w:tc>
          <w:tcPr>
            <w:tcW w:w="1713" w:type="dxa"/>
            <w:shd w:val="clear" w:color="auto" w:fill="auto"/>
          </w:tcPr>
          <w:p w14:paraId="7343D1BD"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b/>
                <w:snapToGrid w:val="0"/>
                <w:sz w:val="24"/>
                <w:szCs w:val="24"/>
                <w:lang w:eastAsia="ru-RU"/>
              </w:rPr>
            </w:pPr>
            <w:r w:rsidRPr="007E6425">
              <w:rPr>
                <w:rFonts w:ascii="Times New Roman" w:eastAsia="Times New Roman" w:hAnsi="Times New Roman" w:cs="Times New Roman"/>
                <w:b/>
                <w:snapToGrid w:val="0"/>
                <w:sz w:val="24"/>
                <w:szCs w:val="24"/>
                <w:lang w:eastAsia="ru-RU"/>
              </w:rPr>
              <w:t>Количество эпизодов</w:t>
            </w:r>
            <w:r w:rsidRPr="007E6425">
              <w:rPr>
                <w:rFonts w:ascii="Times New Roman" w:eastAsia="Times New Roman" w:hAnsi="Times New Roman" w:cs="Times New Roman"/>
                <w:b/>
                <w:snapToGrid w:val="0"/>
                <w:sz w:val="24"/>
                <w:szCs w:val="24"/>
                <w:vertAlign w:val="superscript"/>
                <w:lang w:eastAsia="ru-RU"/>
              </w:rPr>
              <w:t>1</w:t>
            </w:r>
          </w:p>
        </w:tc>
        <w:tc>
          <w:tcPr>
            <w:tcW w:w="1681" w:type="dxa"/>
            <w:shd w:val="clear" w:color="auto" w:fill="auto"/>
          </w:tcPr>
          <w:p w14:paraId="0BD23F1E"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b/>
                <w:snapToGrid w:val="0"/>
                <w:sz w:val="24"/>
                <w:szCs w:val="24"/>
                <w:lang w:eastAsia="ru-RU"/>
              </w:rPr>
            </w:pPr>
            <w:r w:rsidRPr="007E6425">
              <w:rPr>
                <w:rFonts w:ascii="Times New Roman" w:eastAsia="Times New Roman" w:hAnsi="Times New Roman" w:cs="Times New Roman"/>
                <w:b/>
                <w:snapToGrid w:val="0"/>
                <w:sz w:val="24"/>
                <w:szCs w:val="24"/>
                <w:lang w:eastAsia="ru-RU"/>
              </w:rPr>
              <w:t>Отношение рисков</w:t>
            </w:r>
            <w:r w:rsidRPr="007E6425">
              <w:rPr>
                <w:rFonts w:ascii="Times New Roman" w:eastAsia="Times New Roman" w:hAnsi="Times New Roman" w:cs="Times New Roman"/>
                <w:b/>
                <w:snapToGrid w:val="0"/>
                <w:sz w:val="24"/>
                <w:szCs w:val="24"/>
                <w:vertAlign w:val="superscript"/>
                <w:lang w:eastAsia="ru-RU"/>
              </w:rPr>
              <w:t>2</w:t>
            </w:r>
          </w:p>
        </w:tc>
        <w:tc>
          <w:tcPr>
            <w:tcW w:w="1546" w:type="dxa"/>
            <w:shd w:val="clear" w:color="auto" w:fill="auto"/>
          </w:tcPr>
          <w:p w14:paraId="1BCC1454"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b/>
                <w:snapToGrid w:val="0"/>
                <w:sz w:val="24"/>
                <w:szCs w:val="24"/>
                <w:lang w:eastAsia="ru-RU"/>
              </w:rPr>
            </w:pPr>
            <w:r w:rsidRPr="007E6425">
              <w:rPr>
                <w:rFonts w:ascii="Times New Roman" w:eastAsia="Times New Roman" w:hAnsi="Times New Roman" w:cs="Times New Roman"/>
                <w:b/>
                <w:snapToGrid w:val="0"/>
                <w:sz w:val="24"/>
                <w:szCs w:val="24"/>
                <w:lang w:eastAsia="ru-RU"/>
              </w:rPr>
              <w:t>97.5% ДИ</w:t>
            </w:r>
          </w:p>
        </w:tc>
        <w:tc>
          <w:tcPr>
            <w:tcW w:w="2059" w:type="dxa"/>
            <w:shd w:val="clear" w:color="auto" w:fill="auto"/>
          </w:tcPr>
          <w:p w14:paraId="7F34975B"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b/>
                <w:snapToGrid w:val="0"/>
                <w:sz w:val="24"/>
                <w:szCs w:val="24"/>
                <w:lang w:eastAsia="ru-RU"/>
              </w:rPr>
            </w:pPr>
            <w:proofErr w:type="spellStart"/>
            <w:r w:rsidRPr="007E6425">
              <w:rPr>
                <w:rFonts w:ascii="Times New Roman" w:eastAsia="Times New Roman" w:hAnsi="Times New Roman" w:cs="Times New Roman"/>
                <w:b/>
                <w:snapToGrid w:val="0"/>
                <w:sz w:val="24"/>
                <w:szCs w:val="24"/>
                <w:lang w:eastAsia="ru-RU"/>
              </w:rPr>
              <w:t>Значание</w:t>
            </w:r>
            <w:proofErr w:type="spellEnd"/>
            <w:r w:rsidRPr="007E6425">
              <w:rPr>
                <w:rFonts w:ascii="Times New Roman" w:eastAsia="Times New Roman" w:hAnsi="Times New Roman" w:cs="Times New Roman"/>
                <w:b/>
                <w:snapToGrid w:val="0"/>
                <w:sz w:val="24"/>
                <w:szCs w:val="24"/>
                <w:lang w:eastAsia="ru-RU"/>
              </w:rPr>
              <w:t xml:space="preserve"> Р модели Кокса</w:t>
            </w:r>
          </w:p>
        </w:tc>
      </w:tr>
      <w:tr w:rsidR="007E6425" w:rsidRPr="007E6425" w14:paraId="48F1A641" w14:textId="77777777" w:rsidTr="002B682B">
        <w:tc>
          <w:tcPr>
            <w:tcW w:w="1985" w:type="dxa"/>
            <w:shd w:val="clear" w:color="auto" w:fill="auto"/>
          </w:tcPr>
          <w:p w14:paraId="41D043B6"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b/>
                <w:snapToGrid w:val="0"/>
                <w:sz w:val="24"/>
                <w:szCs w:val="24"/>
                <w:lang w:eastAsia="ru-RU"/>
              </w:rPr>
            </w:pPr>
            <w:r w:rsidRPr="007E6425">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59264" behindDoc="0" locked="0" layoutInCell="1" allowOverlap="1" wp14:anchorId="2F66A872" wp14:editId="1058F1DD">
                      <wp:simplePos x="0" y="0"/>
                      <wp:positionH relativeFrom="column">
                        <wp:posOffset>767080</wp:posOffset>
                      </wp:positionH>
                      <wp:positionV relativeFrom="paragraph">
                        <wp:posOffset>92074</wp:posOffset>
                      </wp:positionV>
                      <wp:extent cx="228600" cy="0"/>
                      <wp:effectExtent l="0" t="76200" r="19050" b="95250"/>
                      <wp:wrapNone/>
                      <wp:docPr id="7" name="Egyenes összekötő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C4C68E" id="Egyenes összekötő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4pt,7.25pt" to="78.4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" strokeweight="1.5pt">
                      <v:stroke endarrow="block"/>
                    </v:line>
                  </w:pict>
                </mc:Fallback>
              </mc:AlternateContent>
            </w:r>
            <w:proofErr w:type="spellStart"/>
            <w:r w:rsidRPr="007E6425">
              <w:rPr>
                <w:rFonts w:ascii="Times New Roman" w:eastAsia="Times New Roman" w:hAnsi="Times New Roman" w:cs="Times New Roman"/>
                <w:b/>
                <w:snapToGrid w:val="0"/>
                <w:sz w:val="24"/>
                <w:szCs w:val="24"/>
                <w:lang w:eastAsia="ru-RU"/>
              </w:rPr>
              <w:t>Летрозол</w:t>
            </w:r>
            <w:proofErr w:type="spellEnd"/>
            <w:r w:rsidRPr="007E6425">
              <w:rPr>
                <w:rFonts w:ascii="Times New Roman" w:eastAsia="Times New Roman" w:hAnsi="Times New Roman" w:cs="Times New Roman"/>
                <w:b/>
                <w:snapToGrid w:val="0"/>
                <w:sz w:val="24"/>
                <w:szCs w:val="24"/>
                <w:lang w:eastAsia="ru-RU"/>
              </w:rPr>
              <w:t xml:space="preserve">        тамоксифен</w:t>
            </w:r>
          </w:p>
        </w:tc>
        <w:tc>
          <w:tcPr>
            <w:tcW w:w="372" w:type="dxa"/>
            <w:shd w:val="clear" w:color="auto" w:fill="auto"/>
          </w:tcPr>
          <w:p w14:paraId="6DC27AC6"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1460 </w:t>
            </w:r>
          </w:p>
        </w:tc>
        <w:tc>
          <w:tcPr>
            <w:tcW w:w="1713" w:type="dxa"/>
            <w:shd w:val="clear" w:color="auto" w:fill="auto"/>
          </w:tcPr>
          <w:p w14:paraId="58ED0014"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254</w:t>
            </w:r>
          </w:p>
        </w:tc>
        <w:tc>
          <w:tcPr>
            <w:tcW w:w="1681" w:type="dxa"/>
            <w:shd w:val="clear" w:color="auto" w:fill="auto"/>
          </w:tcPr>
          <w:p w14:paraId="1728ECBD"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1,03</w:t>
            </w:r>
          </w:p>
        </w:tc>
        <w:tc>
          <w:tcPr>
            <w:tcW w:w="1546" w:type="dxa"/>
            <w:shd w:val="clear" w:color="auto" w:fill="auto"/>
          </w:tcPr>
          <w:p w14:paraId="180ED09A"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(0.84, 1.26) </w:t>
            </w:r>
          </w:p>
        </w:tc>
        <w:tc>
          <w:tcPr>
            <w:tcW w:w="2059" w:type="dxa"/>
            <w:shd w:val="clear" w:color="auto" w:fill="auto"/>
          </w:tcPr>
          <w:p w14:paraId="0B65516E"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0.72 </w:t>
            </w:r>
          </w:p>
        </w:tc>
      </w:tr>
      <w:tr w:rsidR="007E6425" w:rsidRPr="007E6425" w14:paraId="760E0F84" w14:textId="77777777" w:rsidTr="002B682B">
        <w:tc>
          <w:tcPr>
            <w:tcW w:w="1985" w:type="dxa"/>
            <w:shd w:val="clear" w:color="auto" w:fill="auto"/>
          </w:tcPr>
          <w:p w14:paraId="7983D56A"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b/>
                <w:snapToGrid w:val="0"/>
                <w:sz w:val="24"/>
                <w:szCs w:val="24"/>
                <w:lang w:eastAsia="ru-RU"/>
              </w:rPr>
            </w:pPr>
            <w:proofErr w:type="spellStart"/>
            <w:r w:rsidRPr="007E6425">
              <w:rPr>
                <w:rFonts w:ascii="Times New Roman" w:eastAsia="Times New Roman" w:hAnsi="Times New Roman" w:cs="Times New Roman"/>
                <w:b/>
                <w:snapToGrid w:val="0"/>
                <w:sz w:val="24"/>
                <w:szCs w:val="24"/>
                <w:lang w:eastAsia="ru-RU"/>
              </w:rPr>
              <w:t>Летрозол</w:t>
            </w:r>
            <w:proofErr w:type="spellEnd"/>
          </w:p>
        </w:tc>
        <w:tc>
          <w:tcPr>
            <w:tcW w:w="372" w:type="dxa"/>
            <w:shd w:val="clear" w:color="auto" w:fill="auto"/>
          </w:tcPr>
          <w:p w14:paraId="519F407D"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1464 </w:t>
            </w:r>
          </w:p>
        </w:tc>
        <w:tc>
          <w:tcPr>
            <w:tcW w:w="1713" w:type="dxa"/>
            <w:shd w:val="clear" w:color="auto" w:fill="auto"/>
          </w:tcPr>
          <w:p w14:paraId="6579D459"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249</w:t>
            </w:r>
          </w:p>
        </w:tc>
        <w:tc>
          <w:tcPr>
            <w:tcW w:w="1681" w:type="dxa"/>
            <w:shd w:val="clear" w:color="auto" w:fill="auto"/>
          </w:tcPr>
          <w:p w14:paraId="0DD44B7A"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p>
        </w:tc>
        <w:tc>
          <w:tcPr>
            <w:tcW w:w="1546" w:type="dxa"/>
            <w:shd w:val="clear" w:color="auto" w:fill="auto"/>
          </w:tcPr>
          <w:p w14:paraId="24604570"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p>
        </w:tc>
        <w:tc>
          <w:tcPr>
            <w:tcW w:w="2059" w:type="dxa"/>
            <w:shd w:val="clear" w:color="auto" w:fill="auto"/>
          </w:tcPr>
          <w:p w14:paraId="1C54A36B"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p>
        </w:tc>
      </w:tr>
    </w:tbl>
    <w:p w14:paraId="14763E61"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0"/>
          <w:szCs w:val="20"/>
          <w:lang w:eastAsia="ru-RU"/>
        </w:rPr>
      </w:pPr>
      <w:r w:rsidRPr="007E6425">
        <w:rPr>
          <w:rFonts w:ascii="Times New Roman" w:eastAsia="Times New Roman" w:hAnsi="Times New Roman" w:cs="Times New Roman"/>
          <w:snapToGrid w:val="0"/>
          <w:sz w:val="20"/>
          <w:szCs w:val="20"/>
          <w:vertAlign w:val="superscript"/>
          <w:lang w:eastAsia="ru-RU"/>
        </w:rPr>
        <w:t>1</w:t>
      </w:r>
      <w:r w:rsidRPr="007E6425">
        <w:rPr>
          <w:rFonts w:ascii="Times New Roman" w:eastAsia="Times New Roman" w:hAnsi="Times New Roman" w:cs="Times New Roman"/>
          <w:snapToGrid w:val="0"/>
          <w:sz w:val="20"/>
          <w:szCs w:val="20"/>
          <w:lang w:eastAsia="ru-RU"/>
        </w:rPr>
        <w:t xml:space="preserve"> по определению в протоколе, включая второе первичное новообразование, но не в молочной железе после переключения на другой препарат или спустя и более 2 лет.</w:t>
      </w:r>
    </w:p>
    <w:p w14:paraId="1743D9CB"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0"/>
          <w:szCs w:val="20"/>
          <w:lang w:eastAsia="ru-RU"/>
        </w:rPr>
      </w:pPr>
      <w:r w:rsidRPr="007E6425">
        <w:rPr>
          <w:rFonts w:ascii="Times New Roman" w:eastAsia="Times New Roman" w:hAnsi="Times New Roman" w:cs="Times New Roman"/>
          <w:snapToGrid w:val="0"/>
          <w:sz w:val="20"/>
          <w:szCs w:val="20"/>
          <w:vertAlign w:val="superscript"/>
          <w:lang w:eastAsia="ru-RU"/>
        </w:rPr>
        <w:t>2</w:t>
      </w:r>
      <w:r w:rsidRPr="007E6425">
        <w:rPr>
          <w:rFonts w:ascii="Times New Roman" w:eastAsia="Times New Roman" w:hAnsi="Times New Roman" w:cs="Times New Roman"/>
          <w:snapToGrid w:val="0"/>
          <w:sz w:val="20"/>
          <w:szCs w:val="20"/>
          <w:lang w:eastAsia="ru-RU"/>
        </w:rPr>
        <w:t xml:space="preserve"> скорректировано по применению химиотерапии</w:t>
      </w:r>
    </w:p>
    <w:p w14:paraId="21071052" w14:textId="77777777" w:rsidR="007E6425" w:rsidRPr="007E6425" w:rsidRDefault="007E6425" w:rsidP="00F602A1">
      <w:pPr>
        <w:autoSpaceDE w:val="0"/>
        <w:autoSpaceDN w:val="0"/>
        <w:adjustRightInd w:val="0"/>
        <w:spacing w:before="120"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Не было выявлено статистически достоверных различий по параметрам ВДР, ОВ, СВБЗ и ОВБЗ ни в одном из АПТ при сравнении рандомизированных пар (Таблица 7).</w:t>
      </w:r>
    </w:p>
    <w:p w14:paraId="2709EFE2" w14:textId="77777777" w:rsidR="007E6425" w:rsidRPr="007E6425" w:rsidRDefault="007E6425" w:rsidP="00F602A1">
      <w:pPr>
        <w:autoSpaceDE w:val="0"/>
        <w:autoSpaceDN w:val="0"/>
        <w:adjustRightInd w:val="0"/>
        <w:spacing w:before="120" w:after="0" w:line="240" w:lineRule="auto"/>
        <w:ind w:right="283"/>
        <w:jc w:val="both"/>
        <w:rPr>
          <w:rFonts w:ascii="Times New Roman" w:eastAsia="Times New Roman" w:hAnsi="Times New Roman" w:cs="Times New Roman"/>
          <w:b/>
          <w:bCs/>
          <w:snapToGrid w:val="0"/>
          <w:sz w:val="24"/>
          <w:szCs w:val="24"/>
          <w:lang w:eastAsia="ru-RU"/>
        </w:rPr>
      </w:pPr>
      <w:r w:rsidRPr="007E6425">
        <w:rPr>
          <w:rFonts w:ascii="Times New Roman" w:eastAsia="Times New Roman" w:hAnsi="Times New Roman" w:cs="Times New Roman"/>
          <w:b/>
          <w:snapToGrid w:val="0"/>
          <w:sz w:val="24"/>
          <w:szCs w:val="24"/>
          <w:lang w:eastAsia="ru-RU"/>
        </w:rPr>
        <w:t xml:space="preserve">Таблица 7 Анализ эффективности последовательной терапии после рандомизации (АПТ-Р) с точки зрения выживаемости до рецидива (популяция анализа по протоколу / </w:t>
      </w:r>
      <w:r w:rsidRPr="007E6425">
        <w:rPr>
          <w:rFonts w:ascii="Times New Roman" w:eastAsia="Times New Roman" w:hAnsi="Times New Roman" w:cs="Times New Roman"/>
          <w:b/>
          <w:bCs/>
          <w:snapToGrid w:val="0"/>
          <w:sz w:val="24"/>
          <w:szCs w:val="24"/>
          <w:lang w:eastAsia="ru-RU"/>
        </w:rPr>
        <w:t>ITT) АПТ-Р)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9"/>
        <w:gridCol w:w="3064"/>
        <w:gridCol w:w="2090"/>
      </w:tblGrid>
      <w:tr w:rsidR="007E6425" w:rsidRPr="007E6425" w14:paraId="11AFEBB1" w14:textId="77777777" w:rsidTr="002B682B">
        <w:tc>
          <w:tcPr>
            <w:tcW w:w="4423" w:type="dxa"/>
            <w:shd w:val="clear" w:color="auto" w:fill="auto"/>
          </w:tcPr>
          <w:p w14:paraId="43447FA0"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p>
        </w:tc>
        <w:tc>
          <w:tcPr>
            <w:tcW w:w="3119" w:type="dxa"/>
            <w:shd w:val="clear" w:color="auto" w:fill="auto"/>
          </w:tcPr>
          <w:p w14:paraId="35E104C0"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55168" behindDoc="0" locked="0" layoutInCell="1" allowOverlap="1" wp14:anchorId="3F435399" wp14:editId="14EAE3C9">
                      <wp:simplePos x="0" y="0"/>
                      <wp:positionH relativeFrom="column">
                        <wp:posOffset>744855</wp:posOffset>
                      </wp:positionH>
                      <wp:positionV relativeFrom="paragraph">
                        <wp:posOffset>105410</wp:posOffset>
                      </wp:positionV>
                      <wp:extent cx="228600" cy="0"/>
                      <wp:effectExtent l="0" t="76200" r="19050" b="95250"/>
                      <wp:wrapNone/>
                      <wp:docPr id="5" name="Egyenes összekötő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BF1D28" id="Egyenes összekötő 5"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65pt,8.3pt" to="76.6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" strokeweight="1.5pt">
                      <v:stroke endarrow="block"/>
                    </v:line>
                  </w:pict>
                </mc:Fallback>
              </mc:AlternateContent>
            </w:r>
            <w:proofErr w:type="spellStart"/>
            <w:r w:rsidRPr="007E6425">
              <w:rPr>
                <w:rFonts w:ascii="Times New Roman" w:eastAsia="Times New Roman" w:hAnsi="Times New Roman" w:cs="Times New Roman"/>
                <w:b/>
                <w:snapToGrid w:val="0"/>
                <w:sz w:val="24"/>
                <w:szCs w:val="24"/>
                <w:lang w:eastAsia="ru-RU"/>
              </w:rPr>
              <w:t>Летрозол</w:t>
            </w:r>
            <w:proofErr w:type="spellEnd"/>
            <w:r w:rsidRPr="007E6425">
              <w:rPr>
                <w:rFonts w:ascii="Times New Roman" w:eastAsia="Times New Roman" w:hAnsi="Times New Roman" w:cs="Times New Roman"/>
                <w:snapToGrid w:val="0"/>
                <w:sz w:val="24"/>
                <w:szCs w:val="24"/>
                <w:lang w:eastAsia="ru-RU"/>
              </w:rPr>
              <w:t xml:space="preserve">          </w:t>
            </w:r>
            <w:r w:rsidRPr="007E6425">
              <w:rPr>
                <w:rFonts w:ascii="Times New Roman" w:eastAsia="Times New Roman" w:hAnsi="Times New Roman" w:cs="Times New Roman"/>
                <w:b/>
                <w:snapToGrid w:val="0"/>
                <w:sz w:val="24"/>
                <w:szCs w:val="24"/>
                <w:lang w:eastAsia="ru-RU"/>
              </w:rPr>
              <w:t>тамоксифен</w:t>
            </w:r>
          </w:p>
        </w:tc>
        <w:tc>
          <w:tcPr>
            <w:tcW w:w="2097" w:type="dxa"/>
            <w:shd w:val="clear" w:color="auto" w:fill="auto"/>
          </w:tcPr>
          <w:p w14:paraId="14801B9C"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b/>
                <w:snapToGrid w:val="0"/>
                <w:sz w:val="24"/>
                <w:szCs w:val="24"/>
                <w:lang w:eastAsia="ru-RU"/>
              </w:rPr>
            </w:pPr>
            <w:proofErr w:type="spellStart"/>
            <w:r w:rsidRPr="007E6425">
              <w:rPr>
                <w:rFonts w:ascii="Times New Roman" w:eastAsia="Times New Roman" w:hAnsi="Times New Roman" w:cs="Times New Roman"/>
                <w:b/>
                <w:snapToGrid w:val="0"/>
                <w:sz w:val="24"/>
                <w:szCs w:val="24"/>
                <w:lang w:eastAsia="ru-RU"/>
              </w:rPr>
              <w:t>Летрозол</w:t>
            </w:r>
            <w:proofErr w:type="spellEnd"/>
          </w:p>
        </w:tc>
      </w:tr>
      <w:tr w:rsidR="007E6425" w:rsidRPr="007E6425" w14:paraId="50B0F2C9" w14:textId="77777777" w:rsidTr="002B682B">
        <w:tc>
          <w:tcPr>
            <w:tcW w:w="4423" w:type="dxa"/>
            <w:shd w:val="clear" w:color="auto" w:fill="auto"/>
          </w:tcPr>
          <w:p w14:paraId="24F1ABBC"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Количество пациентов</w:t>
            </w:r>
          </w:p>
        </w:tc>
        <w:tc>
          <w:tcPr>
            <w:tcW w:w="3119" w:type="dxa"/>
            <w:shd w:val="clear" w:color="auto" w:fill="auto"/>
          </w:tcPr>
          <w:p w14:paraId="66561B3E"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1540</w:t>
            </w:r>
          </w:p>
        </w:tc>
        <w:tc>
          <w:tcPr>
            <w:tcW w:w="2097" w:type="dxa"/>
            <w:shd w:val="clear" w:color="auto" w:fill="auto"/>
          </w:tcPr>
          <w:p w14:paraId="10601276"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1546</w:t>
            </w:r>
          </w:p>
        </w:tc>
      </w:tr>
      <w:tr w:rsidR="007E6425" w:rsidRPr="007E6425" w14:paraId="60E50446" w14:textId="77777777" w:rsidTr="002B682B">
        <w:tc>
          <w:tcPr>
            <w:tcW w:w="4423" w:type="dxa"/>
            <w:shd w:val="clear" w:color="auto" w:fill="auto"/>
          </w:tcPr>
          <w:p w14:paraId="2F5EF285"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Количество пациентов с событиями ВДР</w:t>
            </w:r>
          </w:p>
        </w:tc>
        <w:tc>
          <w:tcPr>
            <w:tcW w:w="3119" w:type="dxa"/>
            <w:shd w:val="clear" w:color="auto" w:fill="auto"/>
          </w:tcPr>
          <w:p w14:paraId="688AA890"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330</w:t>
            </w:r>
          </w:p>
        </w:tc>
        <w:tc>
          <w:tcPr>
            <w:tcW w:w="2097" w:type="dxa"/>
            <w:shd w:val="clear" w:color="auto" w:fill="auto"/>
          </w:tcPr>
          <w:p w14:paraId="2A718AC2"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319</w:t>
            </w:r>
          </w:p>
        </w:tc>
      </w:tr>
      <w:tr w:rsidR="007E6425" w:rsidRPr="007E6425" w14:paraId="0CA6D004" w14:textId="77777777" w:rsidTr="002B682B">
        <w:tc>
          <w:tcPr>
            <w:tcW w:w="4423" w:type="dxa"/>
            <w:shd w:val="clear" w:color="auto" w:fill="auto"/>
          </w:tcPr>
          <w:p w14:paraId="4CE1DC6D"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Отношения рисков</w:t>
            </w:r>
            <w:r w:rsidRPr="007E6425">
              <w:rPr>
                <w:rFonts w:ascii="Times New Roman" w:eastAsia="Times New Roman" w:hAnsi="Times New Roman" w:cs="Times New Roman"/>
                <w:snapToGrid w:val="0"/>
                <w:sz w:val="24"/>
                <w:szCs w:val="24"/>
                <w:vertAlign w:val="superscript"/>
                <w:lang w:eastAsia="ru-RU"/>
              </w:rPr>
              <w:t xml:space="preserve">1 </w:t>
            </w:r>
            <w:r w:rsidRPr="007E6425">
              <w:rPr>
                <w:rFonts w:ascii="Times New Roman" w:eastAsia="Times New Roman" w:hAnsi="Times New Roman" w:cs="Times New Roman"/>
                <w:snapToGrid w:val="0"/>
                <w:sz w:val="24"/>
                <w:szCs w:val="24"/>
                <w:lang w:eastAsia="ru-RU"/>
              </w:rPr>
              <w:t>(ДИ 99%)</w:t>
            </w:r>
          </w:p>
        </w:tc>
        <w:tc>
          <w:tcPr>
            <w:tcW w:w="5216" w:type="dxa"/>
            <w:gridSpan w:val="2"/>
            <w:shd w:val="clear" w:color="auto" w:fill="auto"/>
          </w:tcPr>
          <w:p w14:paraId="0FD22A20"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1,04 (0.85, 1.27)</w:t>
            </w:r>
          </w:p>
        </w:tc>
      </w:tr>
      <w:tr w:rsidR="007E6425" w:rsidRPr="007E6425" w14:paraId="5370D55B" w14:textId="77777777" w:rsidTr="002B682B">
        <w:tc>
          <w:tcPr>
            <w:tcW w:w="4423" w:type="dxa"/>
            <w:shd w:val="clear" w:color="auto" w:fill="auto"/>
          </w:tcPr>
          <w:p w14:paraId="7686DA61"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p>
        </w:tc>
        <w:tc>
          <w:tcPr>
            <w:tcW w:w="3119" w:type="dxa"/>
            <w:shd w:val="clear" w:color="auto" w:fill="auto"/>
          </w:tcPr>
          <w:p w14:paraId="2E74AC88"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b/>
                <w:snapToGrid w:val="0"/>
                <w:sz w:val="24"/>
                <w:szCs w:val="24"/>
                <w:lang w:eastAsia="ru-RU"/>
              </w:rPr>
            </w:pPr>
            <w:r w:rsidRPr="007E6425">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57216" behindDoc="0" locked="0" layoutInCell="1" allowOverlap="1" wp14:anchorId="12314946" wp14:editId="07D4BF33">
                      <wp:simplePos x="0" y="0"/>
                      <wp:positionH relativeFrom="column">
                        <wp:posOffset>695960</wp:posOffset>
                      </wp:positionH>
                      <wp:positionV relativeFrom="paragraph">
                        <wp:posOffset>109855</wp:posOffset>
                      </wp:positionV>
                      <wp:extent cx="228600" cy="0"/>
                      <wp:effectExtent l="0" t="76200" r="19050" b="95250"/>
                      <wp:wrapNone/>
                      <wp:docPr id="3" name="Egyenes összekötő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499BE" id="Egyenes összekötő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8pt,8.65pt" to="72.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" strokeweight="1.5pt">
                      <v:stroke endarrow="block"/>
                    </v:line>
                  </w:pict>
                </mc:Fallback>
              </mc:AlternateContent>
            </w:r>
            <w:proofErr w:type="spellStart"/>
            <w:r w:rsidRPr="007E6425">
              <w:rPr>
                <w:rFonts w:ascii="Times New Roman" w:eastAsia="Times New Roman" w:hAnsi="Times New Roman" w:cs="Times New Roman"/>
                <w:b/>
                <w:snapToGrid w:val="0"/>
                <w:sz w:val="24"/>
                <w:szCs w:val="24"/>
                <w:lang w:eastAsia="ru-RU"/>
              </w:rPr>
              <w:t>Летрозол</w:t>
            </w:r>
            <w:proofErr w:type="spellEnd"/>
            <w:r w:rsidRPr="007E6425">
              <w:rPr>
                <w:rFonts w:ascii="Times New Roman" w:eastAsia="Times New Roman" w:hAnsi="Times New Roman" w:cs="Times New Roman"/>
                <w:b/>
                <w:snapToGrid w:val="0"/>
                <w:sz w:val="24"/>
                <w:szCs w:val="24"/>
                <w:lang w:eastAsia="ru-RU"/>
              </w:rPr>
              <w:t xml:space="preserve">          тамоксифен</w:t>
            </w:r>
          </w:p>
        </w:tc>
        <w:tc>
          <w:tcPr>
            <w:tcW w:w="2097" w:type="dxa"/>
            <w:shd w:val="clear" w:color="auto" w:fill="auto"/>
          </w:tcPr>
          <w:p w14:paraId="4D0BA975"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b/>
                <w:snapToGrid w:val="0"/>
                <w:sz w:val="24"/>
                <w:szCs w:val="24"/>
                <w:lang w:eastAsia="ru-RU"/>
              </w:rPr>
            </w:pPr>
            <w:r w:rsidRPr="007E6425">
              <w:rPr>
                <w:rFonts w:ascii="Times New Roman" w:eastAsia="Times New Roman" w:hAnsi="Times New Roman" w:cs="Times New Roman"/>
                <w:b/>
                <w:snapToGrid w:val="0"/>
                <w:sz w:val="24"/>
                <w:szCs w:val="24"/>
                <w:lang w:eastAsia="ru-RU"/>
              </w:rPr>
              <w:t>Тамоксифен</w:t>
            </w:r>
            <w:r w:rsidRPr="007E6425">
              <w:rPr>
                <w:rFonts w:ascii="Times New Roman" w:eastAsia="Times New Roman" w:hAnsi="Times New Roman" w:cs="Times New Roman"/>
                <w:b/>
                <w:snapToGrid w:val="0"/>
                <w:sz w:val="24"/>
                <w:szCs w:val="24"/>
                <w:vertAlign w:val="superscript"/>
                <w:lang w:eastAsia="ru-RU"/>
              </w:rPr>
              <w:t>2</w:t>
            </w:r>
          </w:p>
        </w:tc>
      </w:tr>
      <w:tr w:rsidR="007E6425" w:rsidRPr="007E6425" w14:paraId="4E18C78B" w14:textId="77777777" w:rsidTr="002B682B">
        <w:tc>
          <w:tcPr>
            <w:tcW w:w="4423" w:type="dxa"/>
            <w:shd w:val="clear" w:color="auto" w:fill="auto"/>
          </w:tcPr>
          <w:p w14:paraId="2AB5D475"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Количество пациентов</w:t>
            </w:r>
          </w:p>
        </w:tc>
        <w:tc>
          <w:tcPr>
            <w:tcW w:w="3119" w:type="dxa"/>
            <w:shd w:val="clear" w:color="auto" w:fill="auto"/>
          </w:tcPr>
          <w:p w14:paraId="1CA46286"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1540</w:t>
            </w:r>
          </w:p>
        </w:tc>
        <w:tc>
          <w:tcPr>
            <w:tcW w:w="2097" w:type="dxa"/>
            <w:shd w:val="clear" w:color="auto" w:fill="auto"/>
          </w:tcPr>
          <w:p w14:paraId="6964763C"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1548</w:t>
            </w:r>
          </w:p>
        </w:tc>
      </w:tr>
      <w:tr w:rsidR="007E6425" w:rsidRPr="007E6425" w14:paraId="519E3EF6" w14:textId="77777777" w:rsidTr="002B682B">
        <w:tc>
          <w:tcPr>
            <w:tcW w:w="4423" w:type="dxa"/>
            <w:shd w:val="clear" w:color="auto" w:fill="auto"/>
          </w:tcPr>
          <w:p w14:paraId="27AC00FB"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Количество пациентов с событиями ВДР</w:t>
            </w:r>
          </w:p>
        </w:tc>
        <w:tc>
          <w:tcPr>
            <w:tcW w:w="3119" w:type="dxa"/>
            <w:shd w:val="clear" w:color="auto" w:fill="auto"/>
          </w:tcPr>
          <w:p w14:paraId="0CAE5CBA"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330</w:t>
            </w:r>
          </w:p>
        </w:tc>
        <w:tc>
          <w:tcPr>
            <w:tcW w:w="2097" w:type="dxa"/>
            <w:shd w:val="clear" w:color="auto" w:fill="auto"/>
          </w:tcPr>
          <w:p w14:paraId="1828003F"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353</w:t>
            </w:r>
          </w:p>
        </w:tc>
      </w:tr>
      <w:tr w:rsidR="007E6425" w:rsidRPr="007E6425" w14:paraId="6226D166" w14:textId="77777777" w:rsidTr="002B682B">
        <w:tc>
          <w:tcPr>
            <w:tcW w:w="4423" w:type="dxa"/>
            <w:shd w:val="clear" w:color="auto" w:fill="auto"/>
          </w:tcPr>
          <w:p w14:paraId="3EE2478C"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Отношения рисков</w:t>
            </w:r>
            <w:r w:rsidRPr="007E6425">
              <w:rPr>
                <w:rFonts w:ascii="Times New Roman" w:eastAsia="Times New Roman" w:hAnsi="Times New Roman" w:cs="Times New Roman"/>
                <w:snapToGrid w:val="0"/>
                <w:sz w:val="24"/>
                <w:szCs w:val="24"/>
                <w:vertAlign w:val="superscript"/>
                <w:lang w:eastAsia="ru-RU"/>
              </w:rPr>
              <w:t xml:space="preserve">1 </w:t>
            </w:r>
            <w:r w:rsidRPr="007E6425">
              <w:rPr>
                <w:rFonts w:ascii="Times New Roman" w:eastAsia="Times New Roman" w:hAnsi="Times New Roman" w:cs="Times New Roman"/>
                <w:snapToGrid w:val="0"/>
                <w:sz w:val="24"/>
                <w:szCs w:val="24"/>
                <w:lang w:eastAsia="ru-RU"/>
              </w:rPr>
              <w:t>(ДИ 99%)</w:t>
            </w:r>
          </w:p>
        </w:tc>
        <w:tc>
          <w:tcPr>
            <w:tcW w:w="5216" w:type="dxa"/>
            <w:gridSpan w:val="2"/>
            <w:shd w:val="clear" w:color="auto" w:fill="auto"/>
          </w:tcPr>
          <w:p w14:paraId="09DF9A15"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0.92 (0.75, 1.12)</w:t>
            </w:r>
          </w:p>
        </w:tc>
      </w:tr>
    </w:tbl>
    <w:p w14:paraId="063C119F"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0"/>
          <w:szCs w:val="20"/>
          <w:lang w:eastAsia="ru-RU"/>
        </w:rPr>
      </w:pPr>
      <w:r w:rsidRPr="007E6425">
        <w:rPr>
          <w:rFonts w:ascii="Times New Roman" w:eastAsia="Times New Roman" w:hAnsi="Times New Roman" w:cs="Times New Roman"/>
          <w:snapToGrid w:val="0"/>
          <w:sz w:val="20"/>
          <w:szCs w:val="20"/>
          <w:vertAlign w:val="superscript"/>
          <w:lang w:eastAsia="ru-RU"/>
        </w:rPr>
        <w:t>1</w:t>
      </w:r>
      <w:r w:rsidRPr="007E6425">
        <w:rPr>
          <w:rFonts w:ascii="Times New Roman" w:eastAsia="Times New Roman" w:hAnsi="Times New Roman" w:cs="Times New Roman"/>
          <w:snapToGrid w:val="0"/>
          <w:sz w:val="20"/>
          <w:szCs w:val="20"/>
          <w:lang w:eastAsia="ru-RU"/>
        </w:rPr>
        <w:t xml:space="preserve"> скорректировано по применению химиотерапии</w:t>
      </w:r>
    </w:p>
    <w:p w14:paraId="497CB2E3"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0"/>
          <w:szCs w:val="20"/>
          <w:vertAlign w:val="superscript"/>
          <w:lang w:eastAsia="ru-RU"/>
        </w:rPr>
        <w:t>2</w:t>
      </w:r>
      <w:r w:rsidRPr="007E6425">
        <w:rPr>
          <w:rFonts w:ascii="Times New Roman" w:eastAsia="Times New Roman" w:hAnsi="Times New Roman" w:cs="Times New Roman"/>
          <w:snapToGrid w:val="0"/>
          <w:sz w:val="20"/>
          <w:szCs w:val="20"/>
          <w:lang w:eastAsia="ru-RU"/>
        </w:rPr>
        <w:t xml:space="preserve"> 626 пациенток (40%) из группы, получавшей тамоксифен, были селективно переведены на </w:t>
      </w:r>
      <w:proofErr w:type="spellStart"/>
      <w:r w:rsidRPr="007E6425">
        <w:rPr>
          <w:rFonts w:ascii="Times New Roman" w:eastAsia="Times New Roman" w:hAnsi="Times New Roman" w:cs="Times New Roman"/>
          <w:snapToGrid w:val="0"/>
          <w:sz w:val="20"/>
          <w:szCs w:val="20"/>
          <w:lang w:eastAsia="ru-RU"/>
        </w:rPr>
        <w:t>летрозол</w:t>
      </w:r>
      <w:proofErr w:type="spellEnd"/>
      <w:r w:rsidRPr="007E6425">
        <w:rPr>
          <w:rFonts w:ascii="Times New Roman" w:eastAsia="Times New Roman" w:hAnsi="Times New Roman" w:cs="Times New Roman"/>
          <w:snapToGrid w:val="0"/>
          <w:sz w:val="20"/>
          <w:szCs w:val="20"/>
          <w:lang w:eastAsia="ru-RU"/>
        </w:rPr>
        <w:t xml:space="preserve"> после устранения маскирования (раскрытия исследования)</w:t>
      </w:r>
    </w:p>
    <w:p w14:paraId="4FE79C29" w14:textId="77777777" w:rsidR="007E6425" w:rsidRPr="007E6425" w:rsidRDefault="007E6425" w:rsidP="00F602A1">
      <w:pPr>
        <w:autoSpaceDE w:val="0"/>
        <w:autoSpaceDN w:val="0"/>
        <w:adjustRightInd w:val="0"/>
        <w:spacing w:after="0" w:line="240" w:lineRule="auto"/>
        <w:ind w:right="283"/>
        <w:contextualSpacing/>
        <w:jc w:val="both"/>
        <w:rPr>
          <w:rFonts w:ascii="Times New Roman" w:eastAsia="Times New Roman" w:hAnsi="Times New Roman" w:cs="Times New Roman"/>
          <w:i/>
          <w:iCs/>
          <w:snapToGrid w:val="0"/>
          <w:sz w:val="24"/>
          <w:szCs w:val="24"/>
          <w:lang w:eastAsia="ru-RU"/>
        </w:rPr>
      </w:pPr>
      <w:r w:rsidRPr="007E6425">
        <w:rPr>
          <w:rFonts w:ascii="Times New Roman" w:eastAsia="Times New Roman" w:hAnsi="Times New Roman" w:cs="Times New Roman"/>
          <w:i/>
          <w:snapToGrid w:val="0"/>
          <w:sz w:val="24"/>
          <w:szCs w:val="24"/>
          <w:lang w:eastAsia="ru-RU"/>
        </w:rPr>
        <w:t xml:space="preserve">Исследование </w:t>
      </w:r>
      <w:r w:rsidRPr="007E6425">
        <w:rPr>
          <w:rFonts w:ascii="Times New Roman" w:eastAsia="Times New Roman" w:hAnsi="Times New Roman" w:cs="Times New Roman"/>
          <w:i/>
          <w:iCs/>
          <w:snapToGrid w:val="0"/>
          <w:sz w:val="24"/>
          <w:szCs w:val="24"/>
          <w:lang w:eastAsia="ru-RU"/>
        </w:rPr>
        <w:t>D2407</w:t>
      </w:r>
    </w:p>
    <w:p w14:paraId="035EA7BE" w14:textId="77777777" w:rsidR="007E6425" w:rsidRPr="007E6425" w:rsidRDefault="007E6425" w:rsidP="00F602A1">
      <w:pPr>
        <w:autoSpaceDE w:val="0"/>
        <w:autoSpaceDN w:val="0"/>
        <w:adjustRightInd w:val="0"/>
        <w:spacing w:after="0" w:line="240" w:lineRule="auto"/>
        <w:ind w:right="283"/>
        <w:contextualSpacing/>
        <w:jc w:val="both"/>
        <w:rPr>
          <w:rFonts w:ascii="Times New Roman" w:eastAsia="Times New Roman" w:hAnsi="Times New Roman" w:cs="Times New Roman"/>
          <w:iCs/>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Исследование </w:t>
      </w:r>
      <w:r w:rsidRPr="007E6425">
        <w:rPr>
          <w:rFonts w:ascii="Times New Roman" w:eastAsia="Times New Roman" w:hAnsi="Times New Roman" w:cs="Times New Roman"/>
          <w:iCs/>
          <w:snapToGrid w:val="0"/>
          <w:sz w:val="24"/>
          <w:szCs w:val="24"/>
          <w:lang w:eastAsia="ru-RU"/>
        </w:rPr>
        <w:t xml:space="preserve">D2407 является открытым, рандомизированным, многоцентровым, </w:t>
      </w:r>
      <w:proofErr w:type="gramStart"/>
      <w:r w:rsidRPr="007E6425">
        <w:rPr>
          <w:rFonts w:ascii="Times New Roman" w:eastAsia="Times New Roman" w:hAnsi="Times New Roman" w:cs="Times New Roman"/>
          <w:iCs/>
          <w:snapToGrid w:val="0"/>
          <w:sz w:val="24"/>
          <w:szCs w:val="24"/>
          <w:lang w:eastAsia="ru-RU"/>
        </w:rPr>
        <w:t>пост-регистрационным</w:t>
      </w:r>
      <w:proofErr w:type="gramEnd"/>
      <w:r w:rsidRPr="007E6425">
        <w:rPr>
          <w:rFonts w:ascii="Times New Roman" w:eastAsia="Times New Roman" w:hAnsi="Times New Roman" w:cs="Times New Roman"/>
          <w:iCs/>
          <w:snapToGrid w:val="0"/>
          <w:sz w:val="24"/>
          <w:szCs w:val="24"/>
          <w:lang w:eastAsia="ru-RU"/>
        </w:rPr>
        <w:t xml:space="preserve"> исследованием безопасности, целью которого являлось сравнение эффектов </w:t>
      </w:r>
      <w:proofErr w:type="spellStart"/>
      <w:r w:rsidRPr="007E6425">
        <w:rPr>
          <w:rFonts w:ascii="Times New Roman" w:eastAsia="Times New Roman" w:hAnsi="Times New Roman" w:cs="Times New Roman"/>
          <w:iCs/>
          <w:snapToGrid w:val="0"/>
          <w:sz w:val="24"/>
          <w:szCs w:val="24"/>
          <w:lang w:eastAsia="ru-RU"/>
        </w:rPr>
        <w:t>адъювантной</w:t>
      </w:r>
      <w:proofErr w:type="spellEnd"/>
      <w:r w:rsidRPr="007E6425">
        <w:rPr>
          <w:rFonts w:ascii="Times New Roman" w:eastAsia="Times New Roman" w:hAnsi="Times New Roman" w:cs="Times New Roman"/>
          <w:iCs/>
          <w:snapToGrid w:val="0"/>
          <w:sz w:val="24"/>
          <w:szCs w:val="24"/>
          <w:lang w:eastAsia="ru-RU"/>
        </w:rPr>
        <w:t xml:space="preserve"> терапии </w:t>
      </w:r>
      <w:proofErr w:type="spellStart"/>
      <w:r w:rsidRPr="007E6425">
        <w:rPr>
          <w:rFonts w:ascii="Times New Roman" w:eastAsia="Times New Roman" w:hAnsi="Times New Roman" w:cs="Times New Roman"/>
          <w:iCs/>
          <w:snapToGrid w:val="0"/>
          <w:sz w:val="24"/>
          <w:szCs w:val="24"/>
          <w:lang w:eastAsia="ru-RU"/>
        </w:rPr>
        <w:t>летрозолом</w:t>
      </w:r>
      <w:proofErr w:type="spellEnd"/>
      <w:r w:rsidRPr="007E6425">
        <w:rPr>
          <w:rFonts w:ascii="Times New Roman" w:eastAsia="Times New Roman" w:hAnsi="Times New Roman" w:cs="Times New Roman"/>
          <w:iCs/>
          <w:snapToGrid w:val="0"/>
          <w:sz w:val="24"/>
          <w:szCs w:val="24"/>
          <w:lang w:eastAsia="ru-RU"/>
        </w:rPr>
        <w:t xml:space="preserve"> и тамоксифеном на минеральную плотность костной ткани (МПКТ) и профиль липидов плазмы крови. 262 пациентки были разбиты на две группы – одна получала </w:t>
      </w:r>
      <w:proofErr w:type="spellStart"/>
      <w:r w:rsidRPr="007E6425">
        <w:rPr>
          <w:rFonts w:ascii="Times New Roman" w:eastAsia="Times New Roman" w:hAnsi="Times New Roman" w:cs="Times New Roman"/>
          <w:iCs/>
          <w:snapToGrid w:val="0"/>
          <w:sz w:val="24"/>
          <w:szCs w:val="24"/>
          <w:lang w:eastAsia="ru-RU"/>
        </w:rPr>
        <w:t>летрозол</w:t>
      </w:r>
      <w:proofErr w:type="spellEnd"/>
      <w:r w:rsidRPr="007E6425">
        <w:rPr>
          <w:rFonts w:ascii="Times New Roman" w:eastAsia="Times New Roman" w:hAnsi="Times New Roman" w:cs="Times New Roman"/>
          <w:iCs/>
          <w:snapToGrid w:val="0"/>
          <w:sz w:val="24"/>
          <w:szCs w:val="24"/>
          <w:lang w:eastAsia="ru-RU"/>
        </w:rPr>
        <w:t xml:space="preserve"> на протяжении 5 лет, а другая – тамоксифен в течение 2 лет с переключением на </w:t>
      </w:r>
      <w:proofErr w:type="spellStart"/>
      <w:r w:rsidRPr="007E6425">
        <w:rPr>
          <w:rFonts w:ascii="Times New Roman" w:eastAsia="Times New Roman" w:hAnsi="Times New Roman" w:cs="Times New Roman"/>
          <w:iCs/>
          <w:snapToGrid w:val="0"/>
          <w:sz w:val="24"/>
          <w:szCs w:val="24"/>
          <w:lang w:eastAsia="ru-RU"/>
        </w:rPr>
        <w:t>летрозол</w:t>
      </w:r>
      <w:proofErr w:type="spellEnd"/>
      <w:r w:rsidRPr="007E6425">
        <w:rPr>
          <w:rFonts w:ascii="Times New Roman" w:eastAsia="Times New Roman" w:hAnsi="Times New Roman" w:cs="Times New Roman"/>
          <w:iCs/>
          <w:snapToGrid w:val="0"/>
          <w:sz w:val="24"/>
          <w:szCs w:val="24"/>
          <w:lang w:eastAsia="ru-RU"/>
        </w:rPr>
        <w:t xml:space="preserve"> в течение 3 лет.</w:t>
      </w:r>
    </w:p>
    <w:p w14:paraId="6155C524" w14:textId="77777777" w:rsidR="007E6425" w:rsidRPr="007E6425" w:rsidRDefault="007E6425" w:rsidP="00F602A1">
      <w:pPr>
        <w:autoSpaceDE w:val="0"/>
        <w:autoSpaceDN w:val="0"/>
        <w:adjustRightInd w:val="0"/>
        <w:spacing w:after="0" w:line="240" w:lineRule="auto"/>
        <w:ind w:right="283"/>
        <w:contextualSpacing/>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iCs/>
          <w:snapToGrid w:val="0"/>
          <w:sz w:val="24"/>
          <w:szCs w:val="24"/>
          <w:lang w:eastAsia="ru-RU"/>
        </w:rPr>
        <w:t>Спустя 24 месяца наблюдалось статистически достоверное различие по первичной точке исследования. МПТК поясничных позвонков (</w:t>
      </w:r>
      <w:r w:rsidRPr="007E6425">
        <w:rPr>
          <w:rFonts w:ascii="Times New Roman" w:eastAsia="Times New Roman" w:hAnsi="Times New Roman" w:cs="Times New Roman"/>
          <w:snapToGrid w:val="0"/>
          <w:sz w:val="24"/>
          <w:szCs w:val="24"/>
          <w:lang w:eastAsia="ru-RU"/>
        </w:rPr>
        <w:t xml:space="preserve">L2-L4) уменьшилась в среднем на 4.1% в группе, получавшей </w:t>
      </w:r>
      <w:proofErr w:type="spellStart"/>
      <w:r w:rsidRPr="007E6425">
        <w:rPr>
          <w:rFonts w:ascii="Times New Roman" w:eastAsia="Times New Roman" w:hAnsi="Times New Roman" w:cs="Times New Roman"/>
          <w:snapToGrid w:val="0"/>
          <w:sz w:val="24"/>
          <w:szCs w:val="24"/>
          <w:lang w:eastAsia="ru-RU"/>
        </w:rPr>
        <w:t>летрозол</w:t>
      </w:r>
      <w:proofErr w:type="spellEnd"/>
      <w:r w:rsidRPr="007E6425">
        <w:rPr>
          <w:rFonts w:ascii="Times New Roman" w:eastAsia="Times New Roman" w:hAnsi="Times New Roman" w:cs="Times New Roman"/>
          <w:snapToGrid w:val="0"/>
          <w:sz w:val="24"/>
          <w:szCs w:val="24"/>
          <w:lang w:eastAsia="ru-RU"/>
        </w:rPr>
        <w:t>, по сравнению с 0.3% у пациенток, получавших тамоксифен.</w:t>
      </w:r>
    </w:p>
    <w:p w14:paraId="3278DADC" w14:textId="77777777" w:rsidR="007E6425" w:rsidRPr="007E6425" w:rsidRDefault="007E6425" w:rsidP="00F602A1">
      <w:pPr>
        <w:autoSpaceDE w:val="0"/>
        <w:autoSpaceDN w:val="0"/>
        <w:adjustRightInd w:val="0"/>
        <w:spacing w:after="0" w:line="240" w:lineRule="auto"/>
        <w:ind w:right="283"/>
        <w:contextualSpacing/>
        <w:jc w:val="both"/>
        <w:rPr>
          <w:rFonts w:ascii="Times New Roman" w:eastAsia="Times New Roman" w:hAnsi="Times New Roman" w:cs="Times New Roman"/>
          <w:iCs/>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Ни у одной из пациенток с нормальной МПКТ в исходном состоянии не развился остеопороз в течение 2 лет лечения и лишь в одном случае наблюдалось развитие остеопороза у пациентки с </w:t>
      </w:r>
      <w:proofErr w:type="spellStart"/>
      <w:r w:rsidRPr="007E6425">
        <w:rPr>
          <w:rFonts w:ascii="Times New Roman" w:eastAsia="Times New Roman" w:hAnsi="Times New Roman" w:cs="Times New Roman"/>
          <w:snapToGrid w:val="0"/>
          <w:sz w:val="24"/>
          <w:szCs w:val="24"/>
          <w:lang w:eastAsia="ru-RU"/>
        </w:rPr>
        <w:t>остеопенией</w:t>
      </w:r>
      <w:proofErr w:type="spellEnd"/>
      <w:r w:rsidRPr="007E6425">
        <w:rPr>
          <w:rFonts w:ascii="Times New Roman" w:eastAsia="Times New Roman" w:hAnsi="Times New Roman" w:cs="Times New Roman"/>
          <w:snapToGrid w:val="0"/>
          <w:sz w:val="24"/>
          <w:szCs w:val="24"/>
          <w:lang w:eastAsia="ru-RU"/>
        </w:rPr>
        <w:t xml:space="preserve"> (Т-балл -1.9) в исходном состоянии (выявленного по результатам общего анализа).</w:t>
      </w:r>
    </w:p>
    <w:p w14:paraId="6170E929" w14:textId="77777777" w:rsidR="007E6425" w:rsidRPr="007E6425" w:rsidRDefault="007E6425" w:rsidP="00F602A1">
      <w:pPr>
        <w:autoSpaceDE w:val="0"/>
        <w:autoSpaceDN w:val="0"/>
        <w:adjustRightInd w:val="0"/>
        <w:spacing w:after="0" w:line="240" w:lineRule="auto"/>
        <w:ind w:right="283"/>
        <w:contextualSpacing/>
        <w:jc w:val="both"/>
        <w:rPr>
          <w:rFonts w:ascii="Times New Roman" w:eastAsia="Times New Roman" w:hAnsi="Times New Roman" w:cs="Times New Roman"/>
          <w:iCs/>
          <w:snapToGrid w:val="0"/>
          <w:sz w:val="24"/>
          <w:szCs w:val="24"/>
          <w:lang w:eastAsia="ru-RU"/>
        </w:rPr>
      </w:pPr>
      <w:r w:rsidRPr="007E6425">
        <w:rPr>
          <w:rFonts w:ascii="Times New Roman" w:eastAsia="Times New Roman" w:hAnsi="Times New Roman" w:cs="Times New Roman"/>
          <w:iCs/>
          <w:snapToGrid w:val="0"/>
          <w:sz w:val="24"/>
          <w:szCs w:val="24"/>
          <w:lang w:eastAsia="ru-RU"/>
        </w:rPr>
        <w:t xml:space="preserve">Не было выявлено статистически достоверных различий между методами лечения по частоте переломов костей – 15% в группе </w:t>
      </w:r>
      <w:proofErr w:type="spellStart"/>
      <w:r w:rsidRPr="007E6425">
        <w:rPr>
          <w:rFonts w:ascii="Times New Roman" w:eastAsia="Times New Roman" w:hAnsi="Times New Roman" w:cs="Times New Roman"/>
          <w:iCs/>
          <w:snapToGrid w:val="0"/>
          <w:sz w:val="24"/>
          <w:szCs w:val="24"/>
          <w:lang w:eastAsia="ru-RU"/>
        </w:rPr>
        <w:t>летрозола</w:t>
      </w:r>
      <w:proofErr w:type="spellEnd"/>
      <w:r w:rsidRPr="007E6425">
        <w:rPr>
          <w:rFonts w:ascii="Times New Roman" w:eastAsia="Times New Roman" w:hAnsi="Times New Roman" w:cs="Times New Roman"/>
          <w:iCs/>
          <w:snapToGrid w:val="0"/>
          <w:sz w:val="24"/>
          <w:szCs w:val="24"/>
          <w:lang w:eastAsia="ru-RU"/>
        </w:rPr>
        <w:t xml:space="preserve"> и 17% в группе тамоксифена.</w:t>
      </w:r>
    </w:p>
    <w:p w14:paraId="43ADAF6C" w14:textId="77777777" w:rsidR="007E6425" w:rsidRPr="007E6425" w:rsidRDefault="007E6425" w:rsidP="00F602A1">
      <w:pPr>
        <w:autoSpaceDE w:val="0"/>
        <w:autoSpaceDN w:val="0"/>
        <w:adjustRightInd w:val="0"/>
        <w:spacing w:after="0" w:line="240" w:lineRule="auto"/>
        <w:ind w:right="283"/>
        <w:contextualSpacing/>
        <w:jc w:val="both"/>
        <w:rPr>
          <w:rFonts w:ascii="Times New Roman" w:eastAsia="Times New Roman" w:hAnsi="Times New Roman" w:cs="Times New Roman"/>
          <w:iCs/>
          <w:snapToGrid w:val="0"/>
          <w:sz w:val="24"/>
          <w:szCs w:val="24"/>
          <w:lang w:eastAsia="ru-RU"/>
        </w:rPr>
      </w:pPr>
      <w:r w:rsidRPr="007E6425">
        <w:rPr>
          <w:rFonts w:ascii="Times New Roman" w:eastAsia="Times New Roman" w:hAnsi="Times New Roman" w:cs="Times New Roman"/>
          <w:iCs/>
          <w:snapToGrid w:val="0"/>
          <w:sz w:val="24"/>
          <w:szCs w:val="24"/>
          <w:lang w:eastAsia="ru-RU"/>
        </w:rPr>
        <w:t xml:space="preserve">По сравнению с исходным состоянием, медианные уровни общего холестерина плазмы крови в группе тамоксифена понизились на 16% после 6 месяцев лечения, и это понижение сохранялось на всех визитах в течение 24 месяцев. В группе </w:t>
      </w:r>
      <w:proofErr w:type="spellStart"/>
      <w:r w:rsidRPr="007E6425">
        <w:rPr>
          <w:rFonts w:ascii="Times New Roman" w:eastAsia="Times New Roman" w:hAnsi="Times New Roman" w:cs="Times New Roman"/>
          <w:iCs/>
          <w:snapToGrid w:val="0"/>
          <w:sz w:val="24"/>
          <w:szCs w:val="24"/>
          <w:lang w:eastAsia="ru-RU"/>
        </w:rPr>
        <w:t>летразола</w:t>
      </w:r>
      <w:proofErr w:type="spellEnd"/>
      <w:r w:rsidRPr="007E6425">
        <w:rPr>
          <w:rFonts w:ascii="Times New Roman" w:eastAsia="Times New Roman" w:hAnsi="Times New Roman" w:cs="Times New Roman"/>
          <w:iCs/>
          <w:snapToGrid w:val="0"/>
          <w:sz w:val="24"/>
          <w:szCs w:val="24"/>
          <w:lang w:eastAsia="ru-RU"/>
        </w:rPr>
        <w:t xml:space="preserve"> </w:t>
      </w:r>
      <w:r w:rsidRPr="007E6425">
        <w:rPr>
          <w:rFonts w:ascii="Times New Roman" w:eastAsia="Times New Roman" w:hAnsi="Times New Roman" w:cs="Times New Roman"/>
          <w:iCs/>
          <w:snapToGrid w:val="0"/>
          <w:sz w:val="24"/>
          <w:szCs w:val="24"/>
          <w:lang w:eastAsia="ru-RU"/>
        </w:rPr>
        <w:lastRenderedPageBreak/>
        <w:t>уровни общего холестерина были достаточно стабильными, что привело к статистически достоверным различиям в пользу тамоксифена в каждом изученном временном периоде.</w:t>
      </w:r>
    </w:p>
    <w:p w14:paraId="792FA0CA" w14:textId="77777777" w:rsidR="007E6425" w:rsidRPr="007E6425" w:rsidRDefault="007E6425" w:rsidP="00F602A1">
      <w:pPr>
        <w:autoSpaceDE w:val="0"/>
        <w:autoSpaceDN w:val="0"/>
        <w:adjustRightInd w:val="0"/>
        <w:spacing w:after="0" w:line="240" w:lineRule="auto"/>
        <w:ind w:right="283"/>
        <w:contextualSpacing/>
        <w:jc w:val="both"/>
        <w:rPr>
          <w:rFonts w:ascii="Times New Roman" w:eastAsia="Times New Roman" w:hAnsi="Times New Roman" w:cs="Times New Roman"/>
          <w:i/>
          <w:snapToGrid w:val="0"/>
          <w:sz w:val="24"/>
          <w:szCs w:val="24"/>
          <w:lang w:eastAsia="ru-RU"/>
        </w:rPr>
      </w:pPr>
      <w:r w:rsidRPr="007E6425">
        <w:rPr>
          <w:rFonts w:ascii="Times New Roman" w:eastAsia="Times New Roman" w:hAnsi="Times New Roman" w:cs="Times New Roman"/>
          <w:i/>
          <w:snapToGrid w:val="0"/>
          <w:sz w:val="24"/>
          <w:szCs w:val="24"/>
          <w:lang w:eastAsia="ru-RU"/>
        </w:rPr>
        <w:t xml:space="preserve">Длительная </w:t>
      </w:r>
      <w:proofErr w:type="spellStart"/>
      <w:r w:rsidRPr="007E6425">
        <w:rPr>
          <w:rFonts w:ascii="Times New Roman" w:eastAsia="Times New Roman" w:hAnsi="Times New Roman" w:cs="Times New Roman"/>
          <w:i/>
          <w:snapToGrid w:val="0"/>
          <w:sz w:val="24"/>
          <w:szCs w:val="24"/>
          <w:lang w:eastAsia="ru-RU"/>
        </w:rPr>
        <w:t>адъювантная</w:t>
      </w:r>
      <w:proofErr w:type="spellEnd"/>
      <w:r w:rsidRPr="007E6425">
        <w:rPr>
          <w:rFonts w:ascii="Times New Roman" w:eastAsia="Times New Roman" w:hAnsi="Times New Roman" w:cs="Times New Roman"/>
          <w:i/>
          <w:snapToGrid w:val="0"/>
          <w:sz w:val="24"/>
          <w:szCs w:val="24"/>
          <w:lang w:eastAsia="ru-RU"/>
        </w:rPr>
        <w:t xml:space="preserve"> терапия </w:t>
      </w:r>
      <w:r w:rsidRPr="007E6425">
        <w:rPr>
          <w:rFonts w:ascii="Times New Roman" w:eastAsia="Times New Roman" w:hAnsi="Times New Roman" w:cs="Times New Roman"/>
          <w:i/>
          <w:iCs/>
          <w:snapToGrid w:val="0"/>
          <w:sz w:val="24"/>
          <w:szCs w:val="24"/>
          <w:lang w:eastAsia="ru-RU"/>
        </w:rPr>
        <w:t>(MA-17)</w:t>
      </w:r>
    </w:p>
    <w:p w14:paraId="33386E6E" w14:textId="77777777" w:rsidR="007E6425" w:rsidRPr="007E6425" w:rsidRDefault="007E6425" w:rsidP="00F602A1">
      <w:pPr>
        <w:autoSpaceDE w:val="0"/>
        <w:autoSpaceDN w:val="0"/>
        <w:adjustRightInd w:val="0"/>
        <w:spacing w:after="0" w:line="240" w:lineRule="auto"/>
        <w:ind w:right="283"/>
        <w:contextualSpacing/>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В многоцентровом, двойном слепом, рандомизированном, плацебо-контролируемом исследовании МА-17 с участием более чем 5100 пациенток в постменопаузе с рецептор-позитивным или неуточненным первичным раком молочной железы, пациентки, у которых не было рецидива после завершения </w:t>
      </w:r>
      <w:proofErr w:type="spellStart"/>
      <w:r w:rsidRPr="007E6425">
        <w:rPr>
          <w:rFonts w:ascii="Times New Roman" w:eastAsia="Times New Roman" w:hAnsi="Times New Roman" w:cs="Times New Roman"/>
          <w:snapToGrid w:val="0"/>
          <w:sz w:val="24"/>
          <w:szCs w:val="24"/>
          <w:lang w:eastAsia="ru-RU"/>
        </w:rPr>
        <w:t>адъювантной</w:t>
      </w:r>
      <w:proofErr w:type="spellEnd"/>
      <w:r w:rsidRPr="007E6425">
        <w:rPr>
          <w:rFonts w:ascii="Times New Roman" w:eastAsia="Times New Roman" w:hAnsi="Times New Roman" w:cs="Times New Roman"/>
          <w:snapToGrid w:val="0"/>
          <w:sz w:val="24"/>
          <w:szCs w:val="24"/>
          <w:lang w:eastAsia="ru-RU"/>
        </w:rPr>
        <w:t xml:space="preserve"> терапии тамоксифеном (4,5-6 лет), были зачислены методом случайного выбора в группы, получающие </w:t>
      </w:r>
      <w:proofErr w:type="spellStart"/>
      <w:r w:rsidRPr="007E6425">
        <w:rPr>
          <w:rFonts w:ascii="Times New Roman" w:eastAsia="Times New Roman" w:hAnsi="Times New Roman" w:cs="Times New Roman"/>
          <w:snapToGrid w:val="0"/>
          <w:sz w:val="24"/>
          <w:szCs w:val="24"/>
          <w:lang w:eastAsia="ru-RU"/>
        </w:rPr>
        <w:t>летрозол</w:t>
      </w:r>
      <w:proofErr w:type="spellEnd"/>
      <w:r w:rsidRPr="007E6425">
        <w:rPr>
          <w:rFonts w:ascii="Times New Roman" w:eastAsia="Times New Roman" w:hAnsi="Times New Roman" w:cs="Times New Roman"/>
          <w:snapToGrid w:val="0"/>
          <w:sz w:val="24"/>
          <w:szCs w:val="24"/>
          <w:lang w:eastAsia="ru-RU"/>
        </w:rPr>
        <w:t xml:space="preserve"> или плацебо в течение 5 лет. </w:t>
      </w:r>
    </w:p>
    <w:p w14:paraId="16F12DFB" w14:textId="77777777" w:rsidR="007E6425" w:rsidRPr="007E6425" w:rsidRDefault="007E6425" w:rsidP="00F602A1">
      <w:pPr>
        <w:autoSpaceDE w:val="0"/>
        <w:autoSpaceDN w:val="0"/>
        <w:adjustRightInd w:val="0"/>
        <w:spacing w:after="0" w:line="240" w:lineRule="auto"/>
        <w:ind w:right="283"/>
        <w:contextualSpacing/>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Первичной точкой исследования была выживаемость без рецидива, определяемая как интервал между рандомизацией и первыми признаками развития </w:t>
      </w:r>
      <w:proofErr w:type="spellStart"/>
      <w:r w:rsidRPr="007E6425">
        <w:rPr>
          <w:rFonts w:ascii="Times New Roman" w:eastAsia="Times New Roman" w:hAnsi="Times New Roman" w:cs="Times New Roman"/>
          <w:snapToGrid w:val="0"/>
          <w:sz w:val="24"/>
          <w:szCs w:val="24"/>
          <w:lang w:eastAsia="ru-RU"/>
        </w:rPr>
        <w:t>локорегионального</w:t>
      </w:r>
      <w:proofErr w:type="spellEnd"/>
      <w:r w:rsidRPr="007E6425">
        <w:rPr>
          <w:rFonts w:ascii="Times New Roman" w:eastAsia="Times New Roman" w:hAnsi="Times New Roman" w:cs="Times New Roman"/>
          <w:snapToGrid w:val="0"/>
          <w:sz w:val="24"/>
          <w:szCs w:val="24"/>
          <w:lang w:eastAsia="ru-RU"/>
        </w:rPr>
        <w:t xml:space="preserve"> рецидива или развития рака контралатеральной молочной железы.</w:t>
      </w:r>
    </w:p>
    <w:p w14:paraId="3D7DBC9E" w14:textId="77777777" w:rsidR="007E6425" w:rsidRPr="007E6425" w:rsidRDefault="007E6425" w:rsidP="00F602A1">
      <w:pPr>
        <w:autoSpaceDE w:val="0"/>
        <w:autoSpaceDN w:val="0"/>
        <w:adjustRightInd w:val="0"/>
        <w:spacing w:after="0" w:line="240" w:lineRule="auto"/>
        <w:ind w:right="283"/>
        <w:contextualSpacing/>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Первичный запланированный промежуточный анализ, выполненный в медиане срока последующего наблюдения примерно на 28-м месяце (25% пациенток наблюдали не менее 38 месяцев), показал, что </w:t>
      </w:r>
      <w:proofErr w:type="spellStart"/>
      <w:r w:rsidRPr="007E6425">
        <w:rPr>
          <w:rFonts w:ascii="Times New Roman" w:eastAsia="Times New Roman" w:hAnsi="Times New Roman" w:cs="Times New Roman"/>
          <w:snapToGrid w:val="0"/>
          <w:sz w:val="24"/>
          <w:szCs w:val="24"/>
          <w:lang w:eastAsia="ru-RU"/>
        </w:rPr>
        <w:t>летрозол</w:t>
      </w:r>
      <w:proofErr w:type="spellEnd"/>
      <w:r w:rsidRPr="007E6425">
        <w:rPr>
          <w:rFonts w:ascii="Times New Roman" w:eastAsia="Times New Roman" w:hAnsi="Times New Roman" w:cs="Times New Roman"/>
          <w:snapToGrid w:val="0"/>
          <w:sz w:val="24"/>
          <w:szCs w:val="24"/>
          <w:lang w:eastAsia="ru-RU"/>
        </w:rPr>
        <w:t xml:space="preserve"> достоверно снижал риск рецидива рака молочной железы на 42%, по сравнению с плацебо (отношение рисков 0,58, P=0,00003). Статистически достоверное преимущество </w:t>
      </w:r>
      <w:proofErr w:type="spellStart"/>
      <w:r w:rsidRPr="007E6425">
        <w:rPr>
          <w:rFonts w:ascii="Times New Roman" w:eastAsia="Times New Roman" w:hAnsi="Times New Roman" w:cs="Times New Roman"/>
          <w:snapToGrid w:val="0"/>
          <w:sz w:val="24"/>
          <w:szCs w:val="24"/>
          <w:lang w:eastAsia="ru-RU"/>
        </w:rPr>
        <w:t>летрозола</w:t>
      </w:r>
      <w:proofErr w:type="spellEnd"/>
      <w:r w:rsidRPr="007E6425">
        <w:rPr>
          <w:rFonts w:ascii="Times New Roman" w:eastAsia="Times New Roman" w:hAnsi="Times New Roman" w:cs="Times New Roman"/>
          <w:snapToGrid w:val="0"/>
          <w:sz w:val="24"/>
          <w:szCs w:val="24"/>
          <w:lang w:eastAsia="ru-RU"/>
        </w:rPr>
        <w:t xml:space="preserve"> в отношении ВДР обнаруживалось независимо от состояния лимфоузлов.</w:t>
      </w:r>
    </w:p>
    <w:p w14:paraId="1BB9C959" w14:textId="77777777" w:rsidR="007E6425" w:rsidRPr="007E6425" w:rsidRDefault="007E6425" w:rsidP="00F602A1">
      <w:pPr>
        <w:autoSpaceDE w:val="0"/>
        <w:autoSpaceDN w:val="0"/>
        <w:adjustRightInd w:val="0"/>
        <w:spacing w:after="0" w:line="240" w:lineRule="auto"/>
        <w:ind w:right="283"/>
        <w:contextualSpacing/>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Для вторичной конечной точки общего выживания (ОВ) были зарегистрированы всего 113 случаев смерти (51 в группе </w:t>
      </w:r>
      <w:proofErr w:type="spellStart"/>
      <w:r w:rsidRPr="007E6425">
        <w:rPr>
          <w:rFonts w:ascii="Times New Roman" w:eastAsia="Times New Roman" w:hAnsi="Times New Roman" w:cs="Times New Roman"/>
          <w:snapToGrid w:val="0"/>
          <w:sz w:val="24"/>
          <w:szCs w:val="24"/>
          <w:lang w:eastAsia="ru-RU"/>
        </w:rPr>
        <w:t>летрозола</w:t>
      </w:r>
      <w:proofErr w:type="spellEnd"/>
      <w:r w:rsidRPr="007E6425">
        <w:rPr>
          <w:rFonts w:ascii="Times New Roman" w:eastAsia="Times New Roman" w:hAnsi="Times New Roman" w:cs="Times New Roman"/>
          <w:snapToGrid w:val="0"/>
          <w:sz w:val="24"/>
          <w:szCs w:val="24"/>
          <w:lang w:eastAsia="ru-RU"/>
        </w:rPr>
        <w:t xml:space="preserve"> и 62 в группе плацебо). Не было статистически значимой разницы между препаратами по ОВ (отношение рисков 0,82; P=0,29). </w:t>
      </w:r>
    </w:p>
    <w:p w14:paraId="416E2DE7" w14:textId="77777777" w:rsidR="007E6425" w:rsidRPr="007E6425" w:rsidRDefault="007E6425" w:rsidP="00F602A1">
      <w:pPr>
        <w:autoSpaceDE w:val="0"/>
        <w:autoSpaceDN w:val="0"/>
        <w:adjustRightInd w:val="0"/>
        <w:spacing w:after="0" w:line="240" w:lineRule="auto"/>
        <w:ind w:right="283"/>
        <w:contextualSpacing/>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После этого исследование продолжалось в открытом режиме, и пациентки в группе плацебо могли по желанию перейти на лечение </w:t>
      </w:r>
      <w:proofErr w:type="spellStart"/>
      <w:r w:rsidRPr="007E6425">
        <w:rPr>
          <w:rFonts w:ascii="Times New Roman" w:eastAsia="Times New Roman" w:hAnsi="Times New Roman" w:cs="Times New Roman"/>
          <w:snapToGrid w:val="0"/>
          <w:sz w:val="24"/>
          <w:szCs w:val="24"/>
          <w:lang w:eastAsia="ru-RU"/>
        </w:rPr>
        <w:t>летрозолом</w:t>
      </w:r>
      <w:proofErr w:type="spellEnd"/>
      <w:r w:rsidRPr="007E6425">
        <w:rPr>
          <w:rFonts w:ascii="Times New Roman" w:eastAsia="Times New Roman" w:hAnsi="Times New Roman" w:cs="Times New Roman"/>
          <w:snapToGrid w:val="0"/>
          <w:sz w:val="24"/>
          <w:szCs w:val="24"/>
          <w:lang w:eastAsia="ru-RU"/>
        </w:rPr>
        <w:t xml:space="preserve"> до 5 лет. После раскрытия исследования свыше 60% пациенток из группы плацебо, у которых был возможен переход на </w:t>
      </w:r>
      <w:proofErr w:type="spellStart"/>
      <w:r w:rsidRPr="007E6425">
        <w:rPr>
          <w:rFonts w:ascii="Times New Roman" w:eastAsia="Times New Roman" w:hAnsi="Times New Roman" w:cs="Times New Roman"/>
          <w:snapToGrid w:val="0"/>
          <w:sz w:val="24"/>
          <w:szCs w:val="24"/>
          <w:lang w:eastAsia="ru-RU"/>
        </w:rPr>
        <w:t>летрозол</w:t>
      </w:r>
      <w:proofErr w:type="spellEnd"/>
      <w:r w:rsidRPr="007E6425">
        <w:rPr>
          <w:rFonts w:ascii="Times New Roman" w:eastAsia="Times New Roman" w:hAnsi="Times New Roman" w:cs="Times New Roman"/>
          <w:snapToGrid w:val="0"/>
          <w:sz w:val="24"/>
          <w:szCs w:val="24"/>
          <w:lang w:eastAsia="ru-RU"/>
        </w:rPr>
        <w:t xml:space="preserve"> (без рецидивов в момент раскрытия исследования), пожелали перейти на этот препарат. В окончательный анализ было включено 1551 пациентка, перешедшая на </w:t>
      </w:r>
      <w:proofErr w:type="spellStart"/>
      <w:r w:rsidRPr="007E6425">
        <w:rPr>
          <w:rFonts w:ascii="Times New Roman" w:eastAsia="Times New Roman" w:hAnsi="Times New Roman" w:cs="Times New Roman"/>
          <w:snapToGrid w:val="0"/>
          <w:sz w:val="24"/>
          <w:szCs w:val="24"/>
          <w:lang w:eastAsia="ru-RU"/>
        </w:rPr>
        <w:t>летрозол</w:t>
      </w:r>
      <w:proofErr w:type="spellEnd"/>
      <w:r w:rsidRPr="007E6425">
        <w:rPr>
          <w:rFonts w:ascii="Times New Roman" w:eastAsia="Times New Roman" w:hAnsi="Times New Roman" w:cs="Times New Roman"/>
          <w:snapToGrid w:val="0"/>
          <w:sz w:val="24"/>
          <w:szCs w:val="24"/>
          <w:lang w:eastAsia="ru-RU"/>
        </w:rPr>
        <w:t xml:space="preserve"> с плацебо на 12-106 месяце (медиана 31 месяц) после завершения </w:t>
      </w:r>
      <w:proofErr w:type="spellStart"/>
      <w:r w:rsidRPr="007E6425">
        <w:rPr>
          <w:rFonts w:ascii="Times New Roman" w:eastAsia="Times New Roman" w:hAnsi="Times New Roman" w:cs="Times New Roman"/>
          <w:snapToGrid w:val="0"/>
          <w:sz w:val="24"/>
          <w:szCs w:val="24"/>
          <w:lang w:eastAsia="ru-RU"/>
        </w:rPr>
        <w:t>адъювантного</w:t>
      </w:r>
      <w:proofErr w:type="spellEnd"/>
      <w:r w:rsidRPr="007E6425">
        <w:rPr>
          <w:rFonts w:ascii="Times New Roman" w:eastAsia="Times New Roman" w:hAnsi="Times New Roman" w:cs="Times New Roman"/>
          <w:snapToGrid w:val="0"/>
          <w:sz w:val="24"/>
          <w:szCs w:val="24"/>
          <w:lang w:eastAsia="ru-RU"/>
        </w:rPr>
        <w:t xml:space="preserve"> лечения тамоксифеном. Длительность лечения </w:t>
      </w:r>
      <w:proofErr w:type="spellStart"/>
      <w:r w:rsidRPr="007E6425">
        <w:rPr>
          <w:rFonts w:ascii="Times New Roman" w:eastAsia="Times New Roman" w:hAnsi="Times New Roman" w:cs="Times New Roman"/>
          <w:snapToGrid w:val="0"/>
          <w:sz w:val="24"/>
          <w:szCs w:val="24"/>
          <w:lang w:eastAsia="ru-RU"/>
        </w:rPr>
        <w:t>летрозолом</w:t>
      </w:r>
      <w:proofErr w:type="spellEnd"/>
      <w:r w:rsidRPr="007E6425">
        <w:rPr>
          <w:rFonts w:ascii="Times New Roman" w:eastAsia="Times New Roman" w:hAnsi="Times New Roman" w:cs="Times New Roman"/>
          <w:snapToGrid w:val="0"/>
          <w:sz w:val="24"/>
          <w:szCs w:val="24"/>
          <w:lang w:eastAsia="ru-RU"/>
        </w:rPr>
        <w:t xml:space="preserve"> после переключения составляла 40 месяцев (медиана).</w:t>
      </w:r>
    </w:p>
    <w:p w14:paraId="3AE3D734" w14:textId="77777777" w:rsidR="007E6425" w:rsidRPr="007E6425" w:rsidRDefault="007E6425" w:rsidP="00F602A1">
      <w:pPr>
        <w:autoSpaceDE w:val="0"/>
        <w:autoSpaceDN w:val="0"/>
        <w:adjustRightInd w:val="0"/>
        <w:spacing w:after="0" w:line="240" w:lineRule="auto"/>
        <w:ind w:right="283"/>
        <w:contextualSpacing/>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Окончательный анализ был проведен на 62 месяце (медиана) наблюдения и подтвердил статистически достоверное понижение риска рецидива рака молочной железы в группе, получавшей </w:t>
      </w:r>
      <w:proofErr w:type="spellStart"/>
      <w:r w:rsidRPr="007E6425">
        <w:rPr>
          <w:rFonts w:ascii="Times New Roman" w:eastAsia="Times New Roman" w:hAnsi="Times New Roman" w:cs="Times New Roman"/>
          <w:snapToGrid w:val="0"/>
          <w:sz w:val="24"/>
          <w:szCs w:val="24"/>
          <w:lang w:eastAsia="ru-RU"/>
        </w:rPr>
        <w:t>летрозол</w:t>
      </w:r>
      <w:proofErr w:type="spellEnd"/>
      <w:r w:rsidRPr="007E6425">
        <w:rPr>
          <w:rFonts w:ascii="Times New Roman" w:eastAsia="Times New Roman" w:hAnsi="Times New Roman" w:cs="Times New Roman"/>
          <w:snapToGrid w:val="0"/>
          <w:sz w:val="24"/>
          <w:szCs w:val="24"/>
          <w:lang w:eastAsia="ru-RU"/>
        </w:rPr>
        <w:t>.</w:t>
      </w:r>
    </w:p>
    <w:p w14:paraId="51C3A907" w14:textId="77777777" w:rsidR="007E6425" w:rsidRPr="007E6425" w:rsidRDefault="007E6425" w:rsidP="00F602A1">
      <w:pPr>
        <w:autoSpaceDE w:val="0"/>
        <w:autoSpaceDN w:val="0"/>
        <w:adjustRightInd w:val="0"/>
        <w:spacing w:after="0" w:line="240" w:lineRule="auto"/>
        <w:ind w:right="283"/>
        <w:contextualSpacing/>
        <w:jc w:val="both"/>
        <w:rPr>
          <w:rFonts w:ascii="Times New Roman" w:eastAsia="Times New Roman" w:hAnsi="Times New Roman" w:cs="Times New Roman"/>
          <w:b/>
          <w:bCs/>
          <w:snapToGrid w:val="0"/>
          <w:sz w:val="24"/>
          <w:szCs w:val="24"/>
          <w:lang w:eastAsia="ru-RU"/>
        </w:rPr>
      </w:pPr>
      <w:r w:rsidRPr="007E6425">
        <w:rPr>
          <w:rFonts w:ascii="Times New Roman" w:eastAsia="Times New Roman" w:hAnsi="Times New Roman" w:cs="Times New Roman"/>
          <w:b/>
          <w:snapToGrid w:val="0"/>
          <w:sz w:val="24"/>
          <w:szCs w:val="24"/>
          <w:lang w:eastAsia="ru-RU"/>
        </w:rPr>
        <w:t xml:space="preserve">Таблица 8 Выживание до рецидивов и общая выживаемость (модифицированная популяция анализа по протоколу </w:t>
      </w:r>
      <w:r w:rsidRPr="007E6425">
        <w:rPr>
          <w:rFonts w:ascii="Times New Roman" w:eastAsia="Times New Roman" w:hAnsi="Times New Roman" w:cs="Times New Roman"/>
          <w:b/>
          <w:bCs/>
          <w:snapToGrid w:val="0"/>
          <w:sz w:val="24"/>
          <w:szCs w:val="24"/>
          <w:lang w:eastAsia="ru-RU"/>
        </w:rPr>
        <w:t>ITT).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3"/>
        <w:gridCol w:w="1389"/>
        <w:gridCol w:w="1276"/>
        <w:gridCol w:w="1275"/>
        <w:gridCol w:w="1560"/>
        <w:gridCol w:w="1275"/>
        <w:gridCol w:w="1276"/>
      </w:tblGrid>
      <w:tr w:rsidR="007E6425" w:rsidRPr="007E6425" w14:paraId="27C92A90" w14:textId="77777777" w:rsidTr="00F602A1">
        <w:tc>
          <w:tcPr>
            <w:tcW w:w="1163" w:type="dxa"/>
            <w:shd w:val="clear" w:color="auto" w:fill="auto"/>
          </w:tcPr>
          <w:p w14:paraId="5A3841CA"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p>
        </w:tc>
        <w:tc>
          <w:tcPr>
            <w:tcW w:w="3940" w:type="dxa"/>
            <w:gridSpan w:val="3"/>
            <w:shd w:val="clear" w:color="auto" w:fill="auto"/>
          </w:tcPr>
          <w:p w14:paraId="3B40D0D4" w14:textId="77777777" w:rsidR="007E6425" w:rsidRPr="007E6425" w:rsidRDefault="007E6425" w:rsidP="00F602A1">
            <w:pPr>
              <w:autoSpaceDE w:val="0"/>
              <w:autoSpaceDN w:val="0"/>
              <w:adjustRightInd w:val="0"/>
              <w:spacing w:after="0" w:line="240" w:lineRule="auto"/>
              <w:ind w:right="283"/>
              <w:jc w:val="center"/>
              <w:rPr>
                <w:rFonts w:ascii="Times New Roman" w:eastAsia="Times New Roman" w:hAnsi="Times New Roman" w:cs="Times New Roman"/>
                <w:b/>
                <w:snapToGrid w:val="0"/>
                <w:sz w:val="24"/>
                <w:szCs w:val="24"/>
                <w:lang w:eastAsia="ru-RU"/>
              </w:rPr>
            </w:pPr>
            <w:r w:rsidRPr="007E6425">
              <w:rPr>
                <w:rFonts w:ascii="Times New Roman" w:eastAsia="Times New Roman" w:hAnsi="Times New Roman" w:cs="Times New Roman"/>
                <w:b/>
                <w:snapToGrid w:val="0"/>
                <w:sz w:val="24"/>
                <w:szCs w:val="24"/>
                <w:lang w:eastAsia="ru-RU"/>
              </w:rPr>
              <w:t>Медиана периода наблюдения 28 месяцев</w:t>
            </w:r>
          </w:p>
        </w:tc>
        <w:tc>
          <w:tcPr>
            <w:tcW w:w="4111" w:type="dxa"/>
            <w:gridSpan w:val="3"/>
            <w:shd w:val="clear" w:color="auto" w:fill="auto"/>
          </w:tcPr>
          <w:p w14:paraId="409824D1" w14:textId="77777777" w:rsidR="007E6425" w:rsidRPr="007E6425" w:rsidRDefault="007E6425" w:rsidP="00F602A1">
            <w:pPr>
              <w:autoSpaceDE w:val="0"/>
              <w:autoSpaceDN w:val="0"/>
              <w:adjustRightInd w:val="0"/>
              <w:spacing w:after="0" w:line="240" w:lineRule="auto"/>
              <w:ind w:right="283"/>
              <w:jc w:val="center"/>
              <w:rPr>
                <w:rFonts w:ascii="Times New Roman" w:eastAsia="Times New Roman" w:hAnsi="Times New Roman" w:cs="Times New Roman"/>
                <w:b/>
                <w:snapToGrid w:val="0"/>
                <w:sz w:val="24"/>
                <w:szCs w:val="24"/>
                <w:lang w:eastAsia="ru-RU"/>
              </w:rPr>
            </w:pPr>
            <w:r w:rsidRPr="007E6425">
              <w:rPr>
                <w:rFonts w:ascii="Times New Roman" w:eastAsia="Times New Roman" w:hAnsi="Times New Roman" w:cs="Times New Roman"/>
                <w:b/>
                <w:snapToGrid w:val="0"/>
                <w:sz w:val="24"/>
                <w:szCs w:val="24"/>
                <w:lang w:eastAsia="ru-RU"/>
              </w:rPr>
              <w:t>Медиана периода наблюдения 62 месяца</w:t>
            </w:r>
          </w:p>
        </w:tc>
      </w:tr>
      <w:tr w:rsidR="007E6425" w:rsidRPr="007E6425" w14:paraId="21984AA5" w14:textId="77777777" w:rsidTr="00F602A1">
        <w:tc>
          <w:tcPr>
            <w:tcW w:w="1163" w:type="dxa"/>
            <w:shd w:val="clear" w:color="auto" w:fill="auto"/>
          </w:tcPr>
          <w:p w14:paraId="6B729879"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p>
        </w:tc>
        <w:tc>
          <w:tcPr>
            <w:tcW w:w="1389" w:type="dxa"/>
            <w:shd w:val="clear" w:color="auto" w:fill="auto"/>
          </w:tcPr>
          <w:p w14:paraId="265042B5"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proofErr w:type="spellStart"/>
            <w:r w:rsidRPr="007E6425">
              <w:rPr>
                <w:rFonts w:ascii="Times New Roman" w:eastAsia="Times New Roman" w:hAnsi="Times New Roman" w:cs="Times New Roman"/>
                <w:snapToGrid w:val="0"/>
                <w:sz w:val="24"/>
                <w:szCs w:val="24"/>
                <w:lang w:eastAsia="ru-RU"/>
              </w:rPr>
              <w:t>Летрозол</w:t>
            </w:r>
            <w:proofErr w:type="spellEnd"/>
          </w:p>
          <w:p w14:paraId="701BF131"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N=2582</w:t>
            </w:r>
          </w:p>
        </w:tc>
        <w:tc>
          <w:tcPr>
            <w:tcW w:w="1276" w:type="dxa"/>
            <w:shd w:val="clear" w:color="auto" w:fill="auto"/>
          </w:tcPr>
          <w:p w14:paraId="7B00E407"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Плацебо</w:t>
            </w:r>
          </w:p>
          <w:p w14:paraId="6C38CADD"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N=2586</w:t>
            </w:r>
          </w:p>
        </w:tc>
        <w:tc>
          <w:tcPr>
            <w:tcW w:w="1275" w:type="dxa"/>
            <w:shd w:val="clear" w:color="auto" w:fill="auto"/>
          </w:tcPr>
          <w:p w14:paraId="59CB76E5" w14:textId="77777777" w:rsidR="007E6425" w:rsidRPr="007E6425" w:rsidRDefault="007E6425" w:rsidP="00F602A1">
            <w:pPr>
              <w:autoSpaceDE w:val="0"/>
              <w:autoSpaceDN w:val="0"/>
              <w:adjustRightInd w:val="0"/>
              <w:spacing w:after="0" w:line="240" w:lineRule="auto"/>
              <w:ind w:right="-109"/>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ОР</w:t>
            </w:r>
          </w:p>
          <w:p w14:paraId="6D9D1DB5" w14:textId="77777777" w:rsidR="007E6425" w:rsidRPr="007E6425" w:rsidRDefault="007E6425" w:rsidP="00F602A1">
            <w:pPr>
              <w:autoSpaceDE w:val="0"/>
              <w:autoSpaceDN w:val="0"/>
              <w:adjustRightInd w:val="0"/>
              <w:spacing w:after="0" w:line="240" w:lineRule="auto"/>
              <w:ind w:right="-109"/>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(95% CI)</w:t>
            </w:r>
            <w:r w:rsidRPr="007E6425">
              <w:rPr>
                <w:rFonts w:ascii="Times New Roman" w:eastAsia="Times New Roman" w:hAnsi="Times New Roman" w:cs="Times New Roman"/>
                <w:snapToGrid w:val="0"/>
                <w:sz w:val="24"/>
                <w:szCs w:val="24"/>
                <w:vertAlign w:val="superscript"/>
                <w:lang w:eastAsia="ru-RU"/>
              </w:rPr>
              <w:t>2</w:t>
            </w:r>
          </w:p>
          <w:p w14:paraId="3F89A5E2" w14:textId="77777777" w:rsidR="007E6425" w:rsidRPr="007E6425" w:rsidRDefault="007E6425" w:rsidP="00F602A1">
            <w:pPr>
              <w:autoSpaceDE w:val="0"/>
              <w:autoSpaceDN w:val="0"/>
              <w:adjustRightInd w:val="0"/>
              <w:spacing w:after="0" w:line="240" w:lineRule="auto"/>
              <w:ind w:right="-109"/>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i/>
                <w:iCs/>
                <w:snapToGrid w:val="0"/>
                <w:sz w:val="24"/>
                <w:szCs w:val="24"/>
                <w:lang w:eastAsia="ru-RU"/>
              </w:rPr>
              <w:t>Значение P</w:t>
            </w:r>
          </w:p>
        </w:tc>
        <w:tc>
          <w:tcPr>
            <w:tcW w:w="1560" w:type="dxa"/>
            <w:shd w:val="clear" w:color="auto" w:fill="auto"/>
          </w:tcPr>
          <w:p w14:paraId="1EADB621"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proofErr w:type="spellStart"/>
            <w:r w:rsidRPr="007E6425">
              <w:rPr>
                <w:rFonts w:ascii="Times New Roman" w:eastAsia="Times New Roman" w:hAnsi="Times New Roman" w:cs="Times New Roman"/>
                <w:snapToGrid w:val="0"/>
                <w:sz w:val="24"/>
                <w:szCs w:val="24"/>
                <w:lang w:eastAsia="ru-RU"/>
              </w:rPr>
              <w:t>Летрозол</w:t>
            </w:r>
            <w:proofErr w:type="spellEnd"/>
          </w:p>
          <w:p w14:paraId="0930E077"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N=2582</w:t>
            </w:r>
          </w:p>
        </w:tc>
        <w:tc>
          <w:tcPr>
            <w:tcW w:w="1275" w:type="dxa"/>
            <w:shd w:val="clear" w:color="auto" w:fill="auto"/>
          </w:tcPr>
          <w:p w14:paraId="331FEBDB"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Плацебо</w:t>
            </w:r>
          </w:p>
          <w:p w14:paraId="6AA7F3FE"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N=2586</w:t>
            </w:r>
          </w:p>
        </w:tc>
        <w:tc>
          <w:tcPr>
            <w:tcW w:w="1276" w:type="dxa"/>
            <w:shd w:val="clear" w:color="auto" w:fill="auto"/>
          </w:tcPr>
          <w:p w14:paraId="48484365" w14:textId="77777777" w:rsidR="007E6425" w:rsidRPr="007E6425" w:rsidRDefault="007E6425" w:rsidP="00F602A1">
            <w:pPr>
              <w:autoSpaceDE w:val="0"/>
              <w:autoSpaceDN w:val="0"/>
              <w:adjustRightInd w:val="0"/>
              <w:spacing w:after="0" w:line="240" w:lineRule="auto"/>
              <w:ind w:right="-102"/>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ОР</w:t>
            </w:r>
          </w:p>
          <w:p w14:paraId="174E57A7" w14:textId="77777777" w:rsidR="007E6425" w:rsidRPr="007E6425" w:rsidRDefault="007E6425" w:rsidP="00F602A1">
            <w:pPr>
              <w:autoSpaceDE w:val="0"/>
              <w:autoSpaceDN w:val="0"/>
              <w:adjustRightInd w:val="0"/>
              <w:spacing w:after="0" w:line="240" w:lineRule="auto"/>
              <w:ind w:right="-102"/>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(95% CI)</w:t>
            </w:r>
            <w:r w:rsidRPr="007E6425">
              <w:rPr>
                <w:rFonts w:ascii="Times New Roman" w:eastAsia="Times New Roman" w:hAnsi="Times New Roman" w:cs="Times New Roman"/>
                <w:snapToGrid w:val="0"/>
                <w:sz w:val="24"/>
                <w:szCs w:val="24"/>
                <w:vertAlign w:val="superscript"/>
                <w:lang w:eastAsia="ru-RU"/>
              </w:rPr>
              <w:t>2</w:t>
            </w:r>
          </w:p>
          <w:p w14:paraId="338572F7" w14:textId="77777777" w:rsidR="007E6425" w:rsidRPr="007E6425" w:rsidRDefault="007E6425" w:rsidP="00F602A1">
            <w:pPr>
              <w:autoSpaceDE w:val="0"/>
              <w:autoSpaceDN w:val="0"/>
              <w:adjustRightInd w:val="0"/>
              <w:spacing w:after="0" w:line="240" w:lineRule="auto"/>
              <w:ind w:right="-102"/>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i/>
                <w:iCs/>
                <w:snapToGrid w:val="0"/>
                <w:sz w:val="24"/>
                <w:szCs w:val="24"/>
                <w:lang w:eastAsia="ru-RU"/>
              </w:rPr>
              <w:t>Значение P</w:t>
            </w:r>
          </w:p>
        </w:tc>
      </w:tr>
      <w:tr w:rsidR="007E6425" w:rsidRPr="007E6425" w14:paraId="0C707E07" w14:textId="77777777" w:rsidTr="00F602A1">
        <w:tc>
          <w:tcPr>
            <w:tcW w:w="9214" w:type="dxa"/>
            <w:gridSpan w:val="7"/>
            <w:shd w:val="clear" w:color="auto" w:fill="auto"/>
          </w:tcPr>
          <w:p w14:paraId="6A745868"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b/>
                <w:snapToGrid w:val="0"/>
                <w:sz w:val="24"/>
                <w:szCs w:val="24"/>
                <w:lang w:eastAsia="ru-RU"/>
              </w:rPr>
              <w:t>Выживание до рецидива</w:t>
            </w:r>
            <w:r w:rsidRPr="007E6425">
              <w:rPr>
                <w:rFonts w:ascii="Times New Roman" w:eastAsia="Times New Roman" w:hAnsi="Times New Roman" w:cs="Times New Roman"/>
                <w:snapToGrid w:val="0"/>
                <w:sz w:val="24"/>
                <w:szCs w:val="24"/>
                <w:vertAlign w:val="superscript"/>
                <w:lang w:eastAsia="ru-RU"/>
              </w:rPr>
              <w:t>3</w:t>
            </w:r>
          </w:p>
        </w:tc>
      </w:tr>
      <w:tr w:rsidR="007E6425" w:rsidRPr="007E6425" w14:paraId="4AC61BA3" w14:textId="77777777" w:rsidTr="00F602A1">
        <w:tc>
          <w:tcPr>
            <w:tcW w:w="1163" w:type="dxa"/>
            <w:shd w:val="clear" w:color="auto" w:fill="auto"/>
          </w:tcPr>
          <w:p w14:paraId="529F89C4"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События</w:t>
            </w:r>
          </w:p>
        </w:tc>
        <w:tc>
          <w:tcPr>
            <w:tcW w:w="1389" w:type="dxa"/>
            <w:shd w:val="clear" w:color="auto" w:fill="auto"/>
          </w:tcPr>
          <w:p w14:paraId="4D74F905"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p>
          <w:p w14:paraId="1B822656"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92 (3.6%)</w:t>
            </w:r>
          </w:p>
        </w:tc>
        <w:tc>
          <w:tcPr>
            <w:tcW w:w="1276" w:type="dxa"/>
            <w:shd w:val="clear" w:color="auto" w:fill="auto"/>
          </w:tcPr>
          <w:p w14:paraId="6B056BD5"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p>
          <w:p w14:paraId="4A06CC3B"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155 (6.0%)</w:t>
            </w:r>
          </w:p>
        </w:tc>
        <w:tc>
          <w:tcPr>
            <w:tcW w:w="1275" w:type="dxa"/>
            <w:tcBorders>
              <w:top w:val="nil"/>
            </w:tcBorders>
            <w:shd w:val="clear" w:color="auto" w:fill="auto"/>
          </w:tcPr>
          <w:p w14:paraId="01D5C509" w14:textId="77777777" w:rsidR="007E6425" w:rsidRPr="007E6425" w:rsidRDefault="007E6425" w:rsidP="00F602A1">
            <w:pPr>
              <w:autoSpaceDE w:val="0"/>
              <w:autoSpaceDN w:val="0"/>
              <w:adjustRightInd w:val="0"/>
              <w:spacing w:after="0" w:line="240" w:lineRule="auto"/>
              <w:ind w:right="-109"/>
              <w:jc w:val="both"/>
              <w:rPr>
                <w:rFonts w:ascii="Times New Roman" w:eastAsia="Times New Roman" w:hAnsi="Times New Roman" w:cs="Times New Roman"/>
                <w:snapToGrid w:val="0"/>
                <w:sz w:val="24"/>
                <w:szCs w:val="24"/>
                <w:lang w:eastAsia="ru-RU"/>
              </w:rPr>
            </w:pPr>
          </w:p>
          <w:p w14:paraId="00F49655" w14:textId="77777777" w:rsidR="007E6425" w:rsidRPr="007E6425" w:rsidRDefault="007E6425" w:rsidP="00F602A1">
            <w:pPr>
              <w:autoSpaceDE w:val="0"/>
              <w:autoSpaceDN w:val="0"/>
              <w:adjustRightInd w:val="0"/>
              <w:spacing w:after="0" w:line="240" w:lineRule="auto"/>
              <w:ind w:right="-109"/>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0.58</w:t>
            </w:r>
          </w:p>
          <w:p w14:paraId="4237E6DD" w14:textId="77777777" w:rsidR="007E6425" w:rsidRPr="007E6425" w:rsidRDefault="007E6425" w:rsidP="00F602A1">
            <w:pPr>
              <w:autoSpaceDE w:val="0"/>
              <w:autoSpaceDN w:val="0"/>
              <w:adjustRightInd w:val="0"/>
              <w:spacing w:after="0" w:line="240" w:lineRule="auto"/>
              <w:ind w:right="-109"/>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(0.45,0.76)</w:t>
            </w:r>
          </w:p>
          <w:p w14:paraId="75A08EA8" w14:textId="77777777" w:rsidR="007E6425" w:rsidRPr="007E6425" w:rsidRDefault="007E6425" w:rsidP="00F602A1">
            <w:pPr>
              <w:autoSpaceDE w:val="0"/>
              <w:autoSpaceDN w:val="0"/>
              <w:adjustRightInd w:val="0"/>
              <w:spacing w:after="0" w:line="240" w:lineRule="auto"/>
              <w:ind w:right="-109"/>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0.00003</w:t>
            </w:r>
          </w:p>
        </w:tc>
        <w:tc>
          <w:tcPr>
            <w:tcW w:w="1560" w:type="dxa"/>
            <w:tcBorders>
              <w:top w:val="nil"/>
            </w:tcBorders>
            <w:shd w:val="clear" w:color="auto" w:fill="auto"/>
          </w:tcPr>
          <w:p w14:paraId="2B8DC316"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p>
          <w:p w14:paraId="7881E6CD"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209 (8.1%)</w:t>
            </w:r>
          </w:p>
        </w:tc>
        <w:tc>
          <w:tcPr>
            <w:tcW w:w="1275" w:type="dxa"/>
            <w:shd w:val="clear" w:color="auto" w:fill="auto"/>
          </w:tcPr>
          <w:p w14:paraId="2A802F13"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p>
          <w:p w14:paraId="129AB543"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286 (11.1%)</w:t>
            </w:r>
          </w:p>
        </w:tc>
        <w:tc>
          <w:tcPr>
            <w:tcW w:w="1276" w:type="dxa"/>
            <w:shd w:val="clear" w:color="auto" w:fill="auto"/>
          </w:tcPr>
          <w:p w14:paraId="54287825" w14:textId="77777777" w:rsidR="007E6425" w:rsidRPr="007E6425" w:rsidRDefault="007E6425" w:rsidP="00F602A1">
            <w:pPr>
              <w:autoSpaceDE w:val="0"/>
              <w:autoSpaceDN w:val="0"/>
              <w:adjustRightInd w:val="0"/>
              <w:spacing w:after="0" w:line="240" w:lineRule="auto"/>
              <w:ind w:right="-102"/>
              <w:jc w:val="both"/>
              <w:rPr>
                <w:rFonts w:ascii="Times New Roman" w:eastAsia="Times New Roman" w:hAnsi="Times New Roman" w:cs="Times New Roman"/>
                <w:snapToGrid w:val="0"/>
                <w:sz w:val="24"/>
                <w:szCs w:val="24"/>
                <w:lang w:eastAsia="ru-RU"/>
              </w:rPr>
            </w:pPr>
          </w:p>
          <w:p w14:paraId="2F96151C" w14:textId="77777777" w:rsidR="007E6425" w:rsidRPr="007E6425" w:rsidRDefault="007E6425" w:rsidP="00F602A1">
            <w:pPr>
              <w:autoSpaceDE w:val="0"/>
              <w:autoSpaceDN w:val="0"/>
              <w:adjustRightInd w:val="0"/>
              <w:spacing w:after="0" w:line="240" w:lineRule="auto"/>
              <w:ind w:right="-102"/>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0.75</w:t>
            </w:r>
          </w:p>
          <w:p w14:paraId="2BB49BB4" w14:textId="77777777" w:rsidR="007E6425" w:rsidRPr="007E6425" w:rsidRDefault="007E6425" w:rsidP="00F602A1">
            <w:pPr>
              <w:autoSpaceDE w:val="0"/>
              <w:autoSpaceDN w:val="0"/>
              <w:adjustRightInd w:val="0"/>
              <w:spacing w:after="0" w:line="240" w:lineRule="auto"/>
              <w:ind w:right="-102"/>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(0.63,0.89)</w:t>
            </w:r>
          </w:p>
        </w:tc>
      </w:tr>
      <w:tr w:rsidR="007E6425" w:rsidRPr="007E6425" w14:paraId="506E2557" w14:textId="77777777" w:rsidTr="00F602A1">
        <w:tc>
          <w:tcPr>
            <w:tcW w:w="1163" w:type="dxa"/>
            <w:shd w:val="clear" w:color="auto" w:fill="auto"/>
          </w:tcPr>
          <w:p w14:paraId="2D1F0E7D"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Частота 4-</w:t>
            </w:r>
            <w:proofErr w:type="gramStart"/>
            <w:r w:rsidRPr="007E6425">
              <w:rPr>
                <w:rFonts w:ascii="Times New Roman" w:eastAsia="Times New Roman" w:hAnsi="Times New Roman" w:cs="Times New Roman"/>
                <w:snapToGrid w:val="0"/>
                <w:sz w:val="24"/>
                <w:szCs w:val="24"/>
                <w:lang w:eastAsia="ru-RU"/>
              </w:rPr>
              <w:t>годично-го</w:t>
            </w:r>
            <w:proofErr w:type="gramEnd"/>
            <w:r w:rsidRPr="007E6425">
              <w:rPr>
                <w:rFonts w:ascii="Times New Roman" w:eastAsia="Times New Roman" w:hAnsi="Times New Roman" w:cs="Times New Roman"/>
                <w:snapToGrid w:val="0"/>
                <w:sz w:val="24"/>
                <w:szCs w:val="24"/>
                <w:lang w:eastAsia="ru-RU"/>
              </w:rPr>
              <w:t xml:space="preserve"> ВДР</w:t>
            </w:r>
          </w:p>
        </w:tc>
        <w:tc>
          <w:tcPr>
            <w:tcW w:w="1389" w:type="dxa"/>
            <w:shd w:val="clear" w:color="auto" w:fill="auto"/>
          </w:tcPr>
          <w:p w14:paraId="1B7B95D2"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94.4% </w:t>
            </w:r>
          </w:p>
        </w:tc>
        <w:tc>
          <w:tcPr>
            <w:tcW w:w="1276" w:type="dxa"/>
            <w:shd w:val="clear" w:color="auto" w:fill="auto"/>
          </w:tcPr>
          <w:p w14:paraId="6F2F6CE8"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89.8% </w:t>
            </w:r>
          </w:p>
        </w:tc>
        <w:tc>
          <w:tcPr>
            <w:tcW w:w="1275" w:type="dxa"/>
            <w:shd w:val="clear" w:color="auto" w:fill="auto"/>
          </w:tcPr>
          <w:p w14:paraId="0971F566"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p>
        </w:tc>
        <w:tc>
          <w:tcPr>
            <w:tcW w:w="1560" w:type="dxa"/>
            <w:shd w:val="clear" w:color="auto" w:fill="auto"/>
          </w:tcPr>
          <w:p w14:paraId="73DFF9EE"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94.4%</w:t>
            </w:r>
          </w:p>
        </w:tc>
        <w:tc>
          <w:tcPr>
            <w:tcW w:w="1275" w:type="dxa"/>
            <w:shd w:val="clear" w:color="auto" w:fill="auto"/>
          </w:tcPr>
          <w:p w14:paraId="72842248"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91.4%</w:t>
            </w:r>
          </w:p>
        </w:tc>
        <w:tc>
          <w:tcPr>
            <w:tcW w:w="1276" w:type="dxa"/>
            <w:shd w:val="clear" w:color="auto" w:fill="auto"/>
          </w:tcPr>
          <w:p w14:paraId="52242A0D"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p>
        </w:tc>
      </w:tr>
      <w:tr w:rsidR="007E6425" w:rsidRPr="007E6425" w14:paraId="5E0C0AB2" w14:textId="77777777" w:rsidTr="00F602A1">
        <w:trPr>
          <w:trHeight w:val="382"/>
        </w:trPr>
        <w:tc>
          <w:tcPr>
            <w:tcW w:w="9214" w:type="dxa"/>
            <w:gridSpan w:val="7"/>
            <w:shd w:val="clear" w:color="auto" w:fill="auto"/>
          </w:tcPr>
          <w:p w14:paraId="2C9B54AC"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b/>
                <w:bCs/>
                <w:snapToGrid w:val="0"/>
                <w:sz w:val="24"/>
                <w:szCs w:val="24"/>
                <w:lang w:eastAsia="ru-RU"/>
              </w:rPr>
              <w:lastRenderedPageBreak/>
              <w:t>Выживаемость без рецидивов</w:t>
            </w:r>
            <w:r w:rsidRPr="007E6425">
              <w:rPr>
                <w:rFonts w:ascii="Times New Roman" w:eastAsia="Times New Roman" w:hAnsi="Times New Roman" w:cs="Times New Roman"/>
                <w:snapToGrid w:val="0"/>
                <w:sz w:val="24"/>
                <w:szCs w:val="24"/>
                <w:vertAlign w:val="superscript"/>
                <w:lang w:eastAsia="ru-RU"/>
              </w:rPr>
              <w:t>3</w:t>
            </w:r>
            <w:r w:rsidRPr="007E6425">
              <w:rPr>
                <w:rFonts w:ascii="Times New Roman" w:eastAsia="Times New Roman" w:hAnsi="Times New Roman" w:cs="Times New Roman"/>
                <w:b/>
                <w:bCs/>
                <w:snapToGrid w:val="0"/>
                <w:sz w:val="24"/>
                <w:szCs w:val="24"/>
                <w:lang w:eastAsia="ru-RU"/>
              </w:rPr>
              <w:t>, включая смерть по любым причинам</w:t>
            </w:r>
          </w:p>
        </w:tc>
      </w:tr>
      <w:tr w:rsidR="007E6425" w:rsidRPr="007E6425" w14:paraId="7DCAF1B9" w14:textId="77777777" w:rsidTr="00F602A1">
        <w:tc>
          <w:tcPr>
            <w:tcW w:w="1163" w:type="dxa"/>
            <w:shd w:val="clear" w:color="auto" w:fill="auto"/>
          </w:tcPr>
          <w:p w14:paraId="0F03420F"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События</w:t>
            </w:r>
          </w:p>
        </w:tc>
        <w:tc>
          <w:tcPr>
            <w:tcW w:w="1389" w:type="dxa"/>
            <w:shd w:val="clear" w:color="auto" w:fill="auto"/>
          </w:tcPr>
          <w:p w14:paraId="0B09E270"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122 (4.7%) </w:t>
            </w:r>
          </w:p>
        </w:tc>
        <w:tc>
          <w:tcPr>
            <w:tcW w:w="1276" w:type="dxa"/>
            <w:shd w:val="clear" w:color="auto" w:fill="auto"/>
          </w:tcPr>
          <w:p w14:paraId="1540A3E1"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193 (7.5%)</w:t>
            </w:r>
          </w:p>
        </w:tc>
        <w:tc>
          <w:tcPr>
            <w:tcW w:w="1275" w:type="dxa"/>
            <w:shd w:val="clear" w:color="auto" w:fill="auto"/>
          </w:tcPr>
          <w:p w14:paraId="6BDBA343"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0.62 </w:t>
            </w:r>
          </w:p>
          <w:p w14:paraId="641327D7"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(0.49, 0.78) </w:t>
            </w:r>
          </w:p>
        </w:tc>
        <w:tc>
          <w:tcPr>
            <w:tcW w:w="1560" w:type="dxa"/>
            <w:shd w:val="clear" w:color="auto" w:fill="auto"/>
          </w:tcPr>
          <w:p w14:paraId="4DEC4F87"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344 (13.3%) </w:t>
            </w:r>
          </w:p>
        </w:tc>
        <w:tc>
          <w:tcPr>
            <w:tcW w:w="1275" w:type="dxa"/>
            <w:tcBorders>
              <w:top w:val="nil"/>
            </w:tcBorders>
            <w:shd w:val="clear" w:color="auto" w:fill="auto"/>
          </w:tcPr>
          <w:p w14:paraId="7DB3C182"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402 (15.5%) </w:t>
            </w:r>
          </w:p>
        </w:tc>
        <w:tc>
          <w:tcPr>
            <w:tcW w:w="1276" w:type="dxa"/>
            <w:tcBorders>
              <w:top w:val="nil"/>
            </w:tcBorders>
            <w:shd w:val="clear" w:color="auto" w:fill="auto"/>
          </w:tcPr>
          <w:p w14:paraId="7413A5C3"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0.89</w:t>
            </w:r>
          </w:p>
          <w:p w14:paraId="30CB2EB0"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(0.77, 1.03)</w:t>
            </w:r>
          </w:p>
        </w:tc>
      </w:tr>
      <w:tr w:rsidR="007E6425" w:rsidRPr="007E6425" w14:paraId="7C001239" w14:textId="77777777" w:rsidTr="00F602A1">
        <w:tc>
          <w:tcPr>
            <w:tcW w:w="1163" w:type="dxa"/>
            <w:shd w:val="clear" w:color="auto" w:fill="auto"/>
          </w:tcPr>
          <w:p w14:paraId="6DA8339A"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Частота 5-летнего ВДР</w:t>
            </w:r>
          </w:p>
        </w:tc>
        <w:tc>
          <w:tcPr>
            <w:tcW w:w="1389" w:type="dxa"/>
            <w:shd w:val="clear" w:color="auto" w:fill="auto"/>
          </w:tcPr>
          <w:p w14:paraId="68D07C46"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90.5% </w:t>
            </w:r>
          </w:p>
        </w:tc>
        <w:tc>
          <w:tcPr>
            <w:tcW w:w="1276" w:type="dxa"/>
            <w:shd w:val="clear" w:color="auto" w:fill="auto"/>
          </w:tcPr>
          <w:p w14:paraId="213C87D6"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80.8% </w:t>
            </w:r>
          </w:p>
        </w:tc>
        <w:tc>
          <w:tcPr>
            <w:tcW w:w="1275" w:type="dxa"/>
            <w:shd w:val="clear" w:color="auto" w:fill="auto"/>
          </w:tcPr>
          <w:p w14:paraId="2A33E0A1"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p>
        </w:tc>
        <w:tc>
          <w:tcPr>
            <w:tcW w:w="1560" w:type="dxa"/>
            <w:shd w:val="clear" w:color="auto" w:fill="auto"/>
          </w:tcPr>
          <w:p w14:paraId="233D49B2"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88.8%</w:t>
            </w:r>
          </w:p>
        </w:tc>
        <w:tc>
          <w:tcPr>
            <w:tcW w:w="1275" w:type="dxa"/>
            <w:shd w:val="clear" w:color="auto" w:fill="auto"/>
          </w:tcPr>
          <w:p w14:paraId="0140F6E7"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86.7%</w:t>
            </w:r>
          </w:p>
        </w:tc>
        <w:tc>
          <w:tcPr>
            <w:tcW w:w="1276" w:type="dxa"/>
            <w:shd w:val="clear" w:color="auto" w:fill="auto"/>
          </w:tcPr>
          <w:p w14:paraId="344CA91A"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p>
        </w:tc>
      </w:tr>
      <w:tr w:rsidR="007E6425" w:rsidRPr="007E6425" w14:paraId="7DA17BCC" w14:textId="77777777" w:rsidTr="00F602A1">
        <w:tc>
          <w:tcPr>
            <w:tcW w:w="9214" w:type="dxa"/>
            <w:gridSpan w:val="7"/>
            <w:shd w:val="clear" w:color="auto" w:fill="auto"/>
          </w:tcPr>
          <w:p w14:paraId="29C820DD"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b/>
                <w:snapToGrid w:val="0"/>
                <w:sz w:val="24"/>
                <w:szCs w:val="24"/>
                <w:lang w:eastAsia="ru-RU"/>
              </w:rPr>
            </w:pPr>
            <w:r w:rsidRPr="007E6425">
              <w:rPr>
                <w:rFonts w:ascii="Times New Roman" w:eastAsia="Times New Roman" w:hAnsi="Times New Roman" w:cs="Times New Roman"/>
                <w:b/>
                <w:snapToGrid w:val="0"/>
                <w:sz w:val="24"/>
                <w:szCs w:val="24"/>
                <w:lang w:eastAsia="ru-RU"/>
              </w:rPr>
              <w:t>Отдаленные метастазы</w:t>
            </w:r>
          </w:p>
        </w:tc>
      </w:tr>
      <w:tr w:rsidR="007E6425" w:rsidRPr="007E6425" w14:paraId="6A5E3B7B" w14:textId="77777777" w:rsidTr="00F602A1">
        <w:tc>
          <w:tcPr>
            <w:tcW w:w="1163" w:type="dxa"/>
            <w:shd w:val="clear" w:color="auto" w:fill="auto"/>
          </w:tcPr>
          <w:p w14:paraId="3717462F"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События</w:t>
            </w:r>
          </w:p>
        </w:tc>
        <w:tc>
          <w:tcPr>
            <w:tcW w:w="1389" w:type="dxa"/>
            <w:shd w:val="clear" w:color="auto" w:fill="auto"/>
          </w:tcPr>
          <w:p w14:paraId="12EC4355"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57 (2.2%) </w:t>
            </w:r>
          </w:p>
        </w:tc>
        <w:tc>
          <w:tcPr>
            <w:tcW w:w="1276" w:type="dxa"/>
            <w:shd w:val="clear" w:color="auto" w:fill="auto"/>
          </w:tcPr>
          <w:p w14:paraId="0CDFC795"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93 (3.6%) </w:t>
            </w:r>
          </w:p>
        </w:tc>
        <w:tc>
          <w:tcPr>
            <w:tcW w:w="1275" w:type="dxa"/>
            <w:tcBorders>
              <w:top w:val="nil"/>
            </w:tcBorders>
            <w:shd w:val="clear" w:color="auto" w:fill="auto"/>
          </w:tcPr>
          <w:p w14:paraId="7FF85F57"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0.61 </w:t>
            </w:r>
          </w:p>
          <w:p w14:paraId="766E7FFE"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(0.44, 0.84) </w:t>
            </w:r>
          </w:p>
          <w:p w14:paraId="083128FD"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p>
        </w:tc>
        <w:tc>
          <w:tcPr>
            <w:tcW w:w="1560" w:type="dxa"/>
            <w:tcBorders>
              <w:top w:val="nil"/>
            </w:tcBorders>
            <w:shd w:val="clear" w:color="auto" w:fill="auto"/>
          </w:tcPr>
          <w:p w14:paraId="60FE332C"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142 </w:t>
            </w:r>
          </w:p>
          <w:p w14:paraId="12FE00D8"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(5.5%) </w:t>
            </w:r>
          </w:p>
        </w:tc>
        <w:tc>
          <w:tcPr>
            <w:tcW w:w="1275" w:type="dxa"/>
            <w:shd w:val="clear" w:color="auto" w:fill="auto"/>
          </w:tcPr>
          <w:p w14:paraId="35731A7D"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169 </w:t>
            </w:r>
          </w:p>
          <w:p w14:paraId="1BCBF3D8"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(6.5%) </w:t>
            </w:r>
          </w:p>
        </w:tc>
        <w:tc>
          <w:tcPr>
            <w:tcW w:w="1276" w:type="dxa"/>
            <w:shd w:val="clear" w:color="auto" w:fill="auto"/>
          </w:tcPr>
          <w:p w14:paraId="7A56756A"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0.88</w:t>
            </w:r>
          </w:p>
          <w:p w14:paraId="61E35C71"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(0.70, 1.10)</w:t>
            </w:r>
          </w:p>
        </w:tc>
      </w:tr>
      <w:tr w:rsidR="007E6425" w:rsidRPr="007E6425" w14:paraId="3928CE45" w14:textId="77777777" w:rsidTr="00F602A1">
        <w:tc>
          <w:tcPr>
            <w:tcW w:w="9214" w:type="dxa"/>
            <w:gridSpan w:val="7"/>
            <w:shd w:val="clear" w:color="auto" w:fill="auto"/>
          </w:tcPr>
          <w:p w14:paraId="3C1CD51F"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b/>
                <w:snapToGrid w:val="0"/>
                <w:sz w:val="24"/>
                <w:szCs w:val="24"/>
                <w:lang w:eastAsia="ru-RU"/>
              </w:rPr>
            </w:pPr>
            <w:r w:rsidRPr="007E6425">
              <w:rPr>
                <w:rFonts w:ascii="Times New Roman" w:eastAsia="Times New Roman" w:hAnsi="Times New Roman" w:cs="Times New Roman"/>
                <w:b/>
                <w:snapToGrid w:val="0"/>
                <w:sz w:val="24"/>
                <w:szCs w:val="24"/>
                <w:lang w:eastAsia="ru-RU"/>
              </w:rPr>
              <w:t>Общая выживаемость</w:t>
            </w:r>
          </w:p>
        </w:tc>
      </w:tr>
      <w:tr w:rsidR="007E6425" w:rsidRPr="007E6425" w14:paraId="19E2D0F7" w14:textId="77777777" w:rsidTr="00F602A1">
        <w:tc>
          <w:tcPr>
            <w:tcW w:w="1163" w:type="dxa"/>
            <w:shd w:val="clear" w:color="auto" w:fill="auto"/>
          </w:tcPr>
          <w:p w14:paraId="6D7DF5E5"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Смерть</w:t>
            </w:r>
          </w:p>
        </w:tc>
        <w:tc>
          <w:tcPr>
            <w:tcW w:w="1389" w:type="dxa"/>
            <w:shd w:val="clear" w:color="auto" w:fill="auto"/>
          </w:tcPr>
          <w:p w14:paraId="144F4150"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51 (2.0%) </w:t>
            </w:r>
          </w:p>
        </w:tc>
        <w:tc>
          <w:tcPr>
            <w:tcW w:w="1276" w:type="dxa"/>
            <w:shd w:val="clear" w:color="auto" w:fill="auto"/>
          </w:tcPr>
          <w:p w14:paraId="3F895BED"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62 (2.4%) </w:t>
            </w:r>
          </w:p>
        </w:tc>
        <w:tc>
          <w:tcPr>
            <w:tcW w:w="1275" w:type="dxa"/>
            <w:shd w:val="clear" w:color="auto" w:fill="auto"/>
          </w:tcPr>
          <w:p w14:paraId="13985FFA"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0.82 </w:t>
            </w:r>
          </w:p>
          <w:p w14:paraId="57A6BB3B"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(0.56, 1.19) </w:t>
            </w:r>
          </w:p>
        </w:tc>
        <w:tc>
          <w:tcPr>
            <w:tcW w:w="1560" w:type="dxa"/>
            <w:shd w:val="clear" w:color="auto" w:fill="auto"/>
          </w:tcPr>
          <w:p w14:paraId="3269B63A"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236 (9.1%)</w:t>
            </w:r>
          </w:p>
        </w:tc>
        <w:tc>
          <w:tcPr>
            <w:tcW w:w="1275" w:type="dxa"/>
            <w:tcBorders>
              <w:top w:val="nil"/>
            </w:tcBorders>
            <w:shd w:val="clear" w:color="auto" w:fill="auto"/>
          </w:tcPr>
          <w:p w14:paraId="1C80A936"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232 (9.0%) </w:t>
            </w:r>
          </w:p>
        </w:tc>
        <w:tc>
          <w:tcPr>
            <w:tcW w:w="1276" w:type="dxa"/>
            <w:tcBorders>
              <w:top w:val="nil"/>
            </w:tcBorders>
            <w:shd w:val="clear" w:color="auto" w:fill="auto"/>
          </w:tcPr>
          <w:p w14:paraId="0EE843CD"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1.13</w:t>
            </w:r>
          </w:p>
          <w:p w14:paraId="7F7DD860"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(0.95, 1.36)</w:t>
            </w:r>
          </w:p>
        </w:tc>
      </w:tr>
      <w:tr w:rsidR="007E6425" w:rsidRPr="007E6425" w14:paraId="046F3237" w14:textId="77777777" w:rsidTr="00F602A1">
        <w:tc>
          <w:tcPr>
            <w:tcW w:w="1163" w:type="dxa"/>
            <w:shd w:val="clear" w:color="auto" w:fill="auto"/>
          </w:tcPr>
          <w:p w14:paraId="2D775166"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Смерть</w:t>
            </w:r>
            <w:r w:rsidRPr="007E6425">
              <w:rPr>
                <w:rFonts w:ascii="Times New Roman" w:eastAsia="Times New Roman" w:hAnsi="Times New Roman" w:cs="Times New Roman"/>
                <w:snapToGrid w:val="0"/>
                <w:sz w:val="24"/>
                <w:szCs w:val="24"/>
                <w:vertAlign w:val="superscript"/>
                <w:lang w:eastAsia="ru-RU"/>
              </w:rPr>
              <w:t>4</w:t>
            </w:r>
          </w:p>
        </w:tc>
        <w:tc>
          <w:tcPr>
            <w:tcW w:w="1389" w:type="dxa"/>
            <w:shd w:val="clear" w:color="auto" w:fill="auto"/>
          </w:tcPr>
          <w:p w14:paraId="557A7C56"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 - </w:t>
            </w:r>
          </w:p>
        </w:tc>
        <w:tc>
          <w:tcPr>
            <w:tcW w:w="1276" w:type="dxa"/>
            <w:shd w:val="clear" w:color="auto" w:fill="auto"/>
          </w:tcPr>
          <w:p w14:paraId="5700D79E"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 - </w:t>
            </w:r>
          </w:p>
        </w:tc>
        <w:tc>
          <w:tcPr>
            <w:tcW w:w="1275" w:type="dxa"/>
            <w:shd w:val="clear" w:color="auto" w:fill="auto"/>
          </w:tcPr>
          <w:p w14:paraId="565CA336"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 - </w:t>
            </w:r>
          </w:p>
        </w:tc>
        <w:tc>
          <w:tcPr>
            <w:tcW w:w="1560" w:type="dxa"/>
            <w:shd w:val="clear" w:color="auto" w:fill="auto"/>
          </w:tcPr>
          <w:p w14:paraId="3AEE2E27"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vertAlign w:val="superscript"/>
                <w:lang w:eastAsia="ru-RU"/>
              </w:rPr>
            </w:pPr>
            <w:r w:rsidRPr="007E6425">
              <w:rPr>
                <w:rFonts w:ascii="Times New Roman" w:eastAsia="Times New Roman" w:hAnsi="Times New Roman" w:cs="Times New Roman"/>
                <w:snapToGrid w:val="0"/>
                <w:sz w:val="24"/>
                <w:szCs w:val="24"/>
                <w:lang w:eastAsia="ru-RU"/>
              </w:rPr>
              <w:t>236</w:t>
            </w:r>
            <w:r w:rsidRPr="007E6425">
              <w:rPr>
                <w:rFonts w:ascii="Times New Roman" w:eastAsia="Times New Roman" w:hAnsi="Times New Roman" w:cs="Times New Roman"/>
                <w:snapToGrid w:val="0"/>
                <w:sz w:val="24"/>
                <w:szCs w:val="24"/>
                <w:vertAlign w:val="superscript"/>
                <w:lang w:eastAsia="ru-RU"/>
              </w:rPr>
              <w:t>5</w:t>
            </w:r>
          </w:p>
          <w:p w14:paraId="5E6D5858"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(9.1%) </w:t>
            </w:r>
          </w:p>
        </w:tc>
        <w:tc>
          <w:tcPr>
            <w:tcW w:w="1275" w:type="dxa"/>
            <w:shd w:val="clear" w:color="auto" w:fill="auto"/>
          </w:tcPr>
          <w:p w14:paraId="23E3216E"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170</w:t>
            </w:r>
            <w:r w:rsidRPr="007E6425">
              <w:rPr>
                <w:rFonts w:ascii="Times New Roman" w:eastAsia="Times New Roman" w:hAnsi="Times New Roman" w:cs="Times New Roman"/>
                <w:snapToGrid w:val="0"/>
                <w:sz w:val="24"/>
                <w:szCs w:val="24"/>
                <w:vertAlign w:val="superscript"/>
                <w:lang w:eastAsia="ru-RU"/>
              </w:rPr>
              <w:t>6</w:t>
            </w:r>
            <w:r w:rsidRPr="007E6425">
              <w:rPr>
                <w:rFonts w:ascii="Times New Roman" w:eastAsia="Times New Roman" w:hAnsi="Times New Roman" w:cs="Times New Roman"/>
                <w:snapToGrid w:val="0"/>
                <w:sz w:val="24"/>
                <w:szCs w:val="24"/>
                <w:lang w:eastAsia="ru-RU"/>
              </w:rPr>
              <w:t xml:space="preserve">(6.6%) </w:t>
            </w:r>
          </w:p>
        </w:tc>
        <w:tc>
          <w:tcPr>
            <w:tcW w:w="1276" w:type="dxa"/>
            <w:shd w:val="clear" w:color="auto" w:fill="auto"/>
          </w:tcPr>
          <w:p w14:paraId="5B863D4B"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0.78</w:t>
            </w:r>
          </w:p>
          <w:p w14:paraId="47EA5943"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(0.64, 0.96)</w:t>
            </w:r>
          </w:p>
        </w:tc>
      </w:tr>
    </w:tbl>
    <w:p w14:paraId="38E61769"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bCs/>
          <w:snapToGrid w:val="0"/>
          <w:sz w:val="20"/>
          <w:szCs w:val="20"/>
          <w:lang w:eastAsia="ru-RU"/>
        </w:rPr>
      </w:pPr>
      <w:r w:rsidRPr="007E6425">
        <w:rPr>
          <w:rFonts w:ascii="Times New Roman" w:eastAsia="Times New Roman" w:hAnsi="Times New Roman" w:cs="Times New Roman"/>
          <w:bCs/>
          <w:snapToGrid w:val="0"/>
          <w:sz w:val="20"/>
          <w:szCs w:val="20"/>
          <w:lang w:eastAsia="ru-RU"/>
        </w:rPr>
        <w:t>ОР – Отношение Риска, ДИ – доверительный интервал</w:t>
      </w:r>
    </w:p>
    <w:p w14:paraId="6E1CF028"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bCs/>
          <w:snapToGrid w:val="0"/>
          <w:sz w:val="20"/>
          <w:szCs w:val="20"/>
          <w:lang w:eastAsia="ru-RU"/>
        </w:rPr>
      </w:pPr>
      <w:r w:rsidRPr="007E6425">
        <w:rPr>
          <w:rFonts w:ascii="Times New Roman" w:eastAsia="Times New Roman" w:hAnsi="Times New Roman" w:cs="Times New Roman"/>
          <w:bCs/>
          <w:snapToGrid w:val="0"/>
          <w:sz w:val="20"/>
          <w:szCs w:val="20"/>
          <w:vertAlign w:val="superscript"/>
          <w:lang w:eastAsia="ru-RU"/>
        </w:rPr>
        <w:t>1</w:t>
      </w:r>
      <w:r w:rsidRPr="007E6425">
        <w:rPr>
          <w:rFonts w:ascii="Times New Roman" w:eastAsia="Times New Roman" w:hAnsi="Times New Roman" w:cs="Times New Roman"/>
          <w:bCs/>
          <w:snapToGrid w:val="0"/>
          <w:sz w:val="20"/>
          <w:szCs w:val="20"/>
          <w:lang w:eastAsia="ru-RU"/>
        </w:rPr>
        <w:t xml:space="preserve"> После раскрытия исследования в </w:t>
      </w:r>
      <w:smartTag w:uri="urn:schemas-microsoft-com:office:smarttags" w:element="metricconverter">
        <w:smartTagPr>
          <w:attr w:name="ProductID" w:val="2003 г"/>
        </w:smartTagPr>
        <w:r w:rsidRPr="007E6425">
          <w:rPr>
            <w:rFonts w:ascii="Times New Roman" w:eastAsia="Times New Roman" w:hAnsi="Times New Roman" w:cs="Times New Roman"/>
            <w:bCs/>
            <w:snapToGrid w:val="0"/>
            <w:sz w:val="20"/>
            <w:szCs w:val="20"/>
            <w:lang w:eastAsia="ru-RU"/>
          </w:rPr>
          <w:t>2003 г</w:t>
        </w:r>
      </w:smartTag>
      <w:r w:rsidRPr="007E6425">
        <w:rPr>
          <w:rFonts w:ascii="Times New Roman" w:eastAsia="Times New Roman" w:hAnsi="Times New Roman" w:cs="Times New Roman"/>
          <w:bCs/>
          <w:snapToGrid w:val="0"/>
          <w:sz w:val="20"/>
          <w:szCs w:val="20"/>
          <w:lang w:eastAsia="ru-RU"/>
        </w:rPr>
        <w:t xml:space="preserve">. 1551 пациенток, рандомизированных в группу плацебо, (60% лиц, подходящих для переключения, то есть пациенток без рецидивов) были переключены на </w:t>
      </w:r>
      <w:proofErr w:type="spellStart"/>
      <w:r w:rsidRPr="007E6425">
        <w:rPr>
          <w:rFonts w:ascii="Times New Roman" w:eastAsia="Times New Roman" w:hAnsi="Times New Roman" w:cs="Times New Roman"/>
          <w:bCs/>
          <w:snapToGrid w:val="0"/>
          <w:sz w:val="20"/>
          <w:szCs w:val="20"/>
          <w:lang w:eastAsia="ru-RU"/>
        </w:rPr>
        <w:t>летрозол</w:t>
      </w:r>
      <w:proofErr w:type="spellEnd"/>
      <w:r w:rsidRPr="007E6425">
        <w:rPr>
          <w:rFonts w:ascii="Times New Roman" w:eastAsia="Times New Roman" w:hAnsi="Times New Roman" w:cs="Times New Roman"/>
          <w:bCs/>
          <w:snapToGrid w:val="0"/>
          <w:sz w:val="20"/>
          <w:szCs w:val="20"/>
          <w:lang w:eastAsia="ru-RU"/>
        </w:rPr>
        <w:t xml:space="preserve"> спустя 31 месяц (медиана) после рандомизации. Представленный здесь анализ игнорирует селективный перекрёстный план исследования.</w:t>
      </w:r>
    </w:p>
    <w:p w14:paraId="673626A4"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bCs/>
          <w:snapToGrid w:val="0"/>
          <w:sz w:val="20"/>
          <w:szCs w:val="20"/>
          <w:lang w:eastAsia="ru-RU"/>
        </w:rPr>
      </w:pPr>
      <w:r w:rsidRPr="007E6425">
        <w:rPr>
          <w:rFonts w:ascii="Times New Roman" w:eastAsia="Times New Roman" w:hAnsi="Times New Roman" w:cs="Times New Roman"/>
          <w:bCs/>
          <w:snapToGrid w:val="0"/>
          <w:sz w:val="20"/>
          <w:szCs w:val="20"/>
          <w:vertAlign w:val="superscript"/>
          <w:lang w:eastAsia="ru-RU"/>
        </w:rPr>
        <w:t>2</w:t>
      </w:r>
      <w:r w:rsidRPr="007E6425">
        <w:rPr>
          <w:rFonts w:ascii="Times New Roman" w:eastAsia="Times New Roman" w:hAnsi="Times New Roman" w:cs="Times New Roman"/>
          <w:bCs/>
          <w:snapToGrid w:val="0"/>
          <w:sz w:val="20"/>
          <w:szCs w:val="20"/>
          <w:lang w:eastAsia="ru-RU"/>
        </w:rPr>
        <w:t xml:space="preserve"> Стратификация по статусу рецепторов, лимфоузлов, и предыдущей </w:t>
      </w:r>
      <w:proofErr w:type="spellStart"/>
      <w:r w:rsidRPr="007E6425">
        <w:rPr>
          <w:rFonts w:ascii="Times New Roman" w:eastAsia="Times New Roman" w:hAnsi="Times New Roman" w:cs="Times New Roman"/>
          <w:bCs/>
          <w:snapToGrid w:val="0"/>
          <w:sz w:val="20"/>
          <w:szCs w:val="20"/>
          <w:lang w:eastAsia="ru-RU"/>
        </w:rPr>
        <w:t>адъювантной</w:t>
      </w:r>
      <w:proofErr w:type="spellEnd"/>
      <w:r w:rsidRPr="007E6425">
        <w:rPr>
          <w:rFonts w:ascii="Times New Roman" w:eastAsia="Times New Roman" w:hAnsi="Times New Roman" w:cs="Times New Roman"/>
          <w:bCs/>
          <w:snapToGrid w:val="0"/>
          <w:sz w:val="20"/>
          <w:szCs w:val="20"/>
          <w:lang w:eastAsia="ru-RU"/>
        </w:rPr>
        <w:t xml:space="preserve"> химиотерапии</w:t>
      </w:r>
    </w:p>
    <w:p w14:paraId="23754203"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bCs/>
          <w:snapToGrid w:val="0"/>
          <w:sz w:val="20"/>
          <w:szCs w:val="20"/>
          <w:lang w:eastAsia="ru-RU"/>
        </w:rPr>
      </w:pPr>
      <w:r w:rsidRPr="007E6425">
        <w:rPr>
          <w:rFonts w:ascii="Times New Roman" w:eastAsia="Times New Roman" w:hAnsi="Times New Roman" w:cs="Times New Roman"/>
          <w:bCs/>
          <w:snapToGrid w:val="0"/>
          <w:sz w:val="20"/>
          <w:szCs w:val="20"/>
          <w:vertAlign w:val="superscript"/>
          <w:lang w:eastAsia="ru-RU"/>
        </w:rPr>
        <w:t>3</w:t>
      </w:r>
      <w:r w:rsidRPr="007E6425">
        <w:rPr>
          <w:rFonts w:ascii="Times New Roman" w:eastAsia="Times New Roman" w:hAnsi="Times New Roman" w:cs="Times New Roman"/>
          <w:bCs/>
          <w:snapToGrid w:val="0"/>
          <w:sz w:val="20"/>
          <w:szCs w:val="20"/>
          <w:lang w:eastAsia="ru-RU"/>
        </w:rPr>
        <w:t xml:space="preserve"> Определение в соответствии с Протоколом выживаемости без рецидивов: </w:t>
      </w:r>
      <w:proofErr w:type="spellStart"/>
      <w:r w:rsidRPr="007E6425">
        <w:rPr>
          <w:rFonts w:ascii="Times New Roman" w:eastAsia="Times New Roman" w:hAnsi="Times New Roman" w:cs="Times New Roman"/>
          <w:bCs/>
          <w:snapToGrid w:val="0"/>
          <w:sz w:val="20"/>
          <w:szCs w:val="20"/>
          <w:lang w:eastAsia="ru-RU"/>
        </w:rPr>
        <w:t>локорегиональные</w:t>
      </w:r>
      <w:proofErr w:type="spellEnd"/>
      <w:r w:rsidRPr="007E6425">
        <w:rPr>
          <w:rFonts w:ascii="Times New Roman" w:eastAsia="Times New Roman" w:hAnsi="Times New Roman" w:cs="Times New Roman"/>
          <w:bCs/>
          <w:snapToGrid w:val="0"/>
          <w:sz w:val="20"/>
          <w:szCs w:val="20"/>
          <w:lang w:eastAsia="ru-RU"/>
        </w:rPr>
        <w:t xml:space="preserve"> рецидивы, отдалённые метастазы или рак контралатеральной молочной железы.</w:t>
      </w:r>
    </w:p>
    <w:p w14:paraId="64723E29"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bCs/>
          <w:snapToGrid w:val="0"/>
          <w:sz w:val="20"/>
          <w:szCs w:val="20"/>
          <w:lang w:eastAsia="ru-RU"/>
        </w:rPr>
      </w:pPr>
      <w:r w:rsidRPr="007E6425">
        <w:rPr>
          <w:rFonts w:ascii="Times New Roman" w:eastAsia="Times New Roman" w:hAnsi="Times New Roman" w:cs="Times New Roman"/>
          <w:bCs/>
          <w:snapToGrid w:val="0"/>
          <w:sz w:val="20"/>
          <w:szCs w:val="20"/>
          <w:vertAlign w:val="superscript"/>
          <w:lang w:eastAsia="ru-RU"/>
        </w:rPr>
        <w:t>4</w:t>
      </w:r>
      <w:r w:rsidRPr="007E6425">
        <w:rPr>
          <w:rFonts w:ascii="Times New Roman" w:eastAsia="Times New Roman" w:hAnsi="Times New Roman" w:cs="Times New Roman"/>
          <w:bCs/>
          <w:snapToGrid w:val="0"/>
          <w:sz w:val="20"/>
          <w:szCs w:val="20"/>
          <w:lang w:eastAsia="ru-RU"/>
        </w:rPr>
        <w:t xml:space="preserve"> Поисковое исследование, цензурирующее время наблюдения во время переключения (если оно имело место) в группе плацебо</w:t>
      </w:r>
    </w:p>
    <w:p w14:paraId="0DC79944"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bCs/>
          <w:snapToGrid w:val="0"/>
          <w:sz w:val="20"/>
          <w:szCs w:val="20"/>
          <w:lang w:eastAsia="ru-RU"/>
        </w:rPr>
      </w:pPr>
      <w:r w:rsidRPr="007E6425">
        <w:rPr>
          <w:rFonts w:ascii="Times New Roman" w:eastAsia="Times New Roman" w:hAnsi="Times New Roman" w:cs="Times New Roman"/>
          <w:bCs/>
          <w:snapToGrid w:val="0"/>
          <w:sz w:val="20"/>
          <w:szCs w:val="20"/>
          <w:vertAlign w:val="superscript"/>
          <w:lang w:eastAsia="ru-RU"/>
        </w:rPr>
        <w:t>5</w:t>
      </w:r>
      <w:r w:rsidRPr="007E6425">
        <w:rPr>
          <w:rFonts w:ascii="Times New Roman" w:eastAsia="Times New Roman" w:hAnsi="Times New Roman" w:cs="Times New Roman"/>
          <w:bCs/>
          <w:snapToGrid w:val="0"/>
          <w:sz w:val="20"/>
          <w:szCs w:val="20"/>
          <w:lang w:eastAsia="ru-RU"/>
        </w:rPr>
        <w:t xml:space="preserve"> Медианное время наблюдения 62 месяца</w:t>
      </w:r>
    </w:p>
    <w:p w14:paraId="3D4F8E89"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bCs/>
          <w:snapToGrid w:val="0"/>
          <w:sz w:val="20"/>
          <w:szCs w:val="20"/>
          <w:lang w:eastAsia="ru-RU"/>
        </w:rPr>
      </w:pPr>
      <w:r w:rsidRPr="007E6425">
        <w:rPr>
          <w:rFonts w:ascii="Times New Roman" w:eastAsia="Times New Roman" w:hAnsi="Times New Roman" w:cs="Times New Roman"/>
          <w:bCs/>
          <w:snapToGrid w:val="0"/>
          <w:sz w:val="20"/>
          <w:szCs w:val="20"/>
          <w:vertAlign w:val="superscript"/>
          <w:lang w:eastAsia="ru-RU"/>
        </w:rPr>
        <w:t>6</w:t>
      </w:r>
      <w:r w:rsidRPr="007E6425">
        <w:rPr>
          <w:rFonts w:ascii="Times New Roman" w:eastAsia="Times New Roman" w:hAnsi="Times New Roman" w:cs="Times New Roman"/>
          <w:bCs/>
          <w:snapToGrid w:val="0"/>
          <w:sz w:val="20"/>
          <w:szCs w:val="20"/>
          <w:lang w:eastAsia="ru-RU"/>
        </w:rPr>
        <w:t xml:space="preserve"> Медианное время наблюдения до переключения (если оно имело место) 37 месяцев.</w:t>
      </w:r>
    </w:p>
    <w:p w14:paraId="301BE687" w14:textId="77777777" w:rsidR="007E6425" w:rsidRPr="007E6425" w:rsidRDefault="007E6425" w:rsidP="00F602A1">
      <w:pPr>
        <w:autoSpaceDE w:val="0"/>
        <w:autoSpaceDN w:val="0"/>
        <w:adjustRightInd w:val="0"/>
        <w:spacing w:before="120"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В дополнительном исследовании МА-17 минеральной плотности костной ткани (МПКТ)  с сопутствующим введением добавок кальция и витамина D наблюдалось более выраженное понижение МПКТ, по сравнению с исходным состоянием, в группе, получавшей </w:t>
      </w:r>
      <w:proofErr w:type="spellStart"/>
      <w:r w:rsidRPr="007E6425">
        <w:rPr>
          <w:rFonts w:ascii="Times New Roman" w:eastAsia="Times New Roman" w:hAnsi="Times New Roman" w:cs="Times New Roman"/>
          <w:snapToGrid w:val="0"/>
          <w:sz w:val="24"/>
          <w:szCs w:val="24"/>
          <w:lang w:eastAsia="ru-RU"/>
        </w:rPr>
        <w:t>летрозол</w:t>
      </w:r>
      <w:proofErr w:type="spellEnd"/>
      <w:r w:rsidRPr="007E6425">
        <w:rPr>
          <w:rFonts w:ascii="Times New Roman" w:eastAsia="Times New Roman" w:hAnsi="Times New Roman" w:cs="Times New Roman"/>
          <w:snapToGrid w:val="0"/>
          <w:sz w:val="24"/>
          <w:szCs w:val="24"/>
          <w:lang w:eastAsia="ru-RU"/>
        </w:rPr>
        <w:t xml:space="preserve">, по сравнению с плацебо. Единственное статистически достоверное различие наблюдалось по общей МПКТ бедра спустя 2 года (медиана 3.8% в группе </w:t>
      </w:r>
      <w:proofErr w:type="spellStart"/>
      <w:r w:rsidRPr="007E6425">
        <w:rPr>
          <w:rFonts w:ascii="Times New Roman" w:eastAsia="Times New Roman" w:hAnsi="Times New Roman" w:cs="Times New Roman"/>
          <w:snapToGrid w:val="0"/>
          <w:sz w:val="24"/>
          <w:szCs w:val="24"/>
          <w:lang w:eastAsia="ru-RU"/>
        </w:rPr>
        <w:t>летрозола</w:t>
      </w:r>
      <w:proofErr w:type="spellEnd"/>
      <w:r w:rsidRPr="007E6425">
        <w:rPr>
          <w:rFonts w:ascii="Times New Roman" w:eastAsia="Times New Roman" w:hAnsi="Times New Roman" w:cs="Times New Roman"/>
          <w:snapToGrid w:val="0"/>
          <w:sz w:val="24"/>
          <w:szCs w:val="24"/>
          <w:lang w:eastAsia="ru-RU"/>
        </w:rPr>
        <w:t xml:space="preserve"> и 2.0% в группе плацебо).</w:t>
      </w:r>
    </w:p>
    <w:p w14:paraId="39678AD5"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Результаты дополнительного исследования МА-17 липидов не выявили существенного различия уровней холестерина или какой-либо фракции липидов между группами </w:t>
      </w:r>
      <w:proofErr w:type="spellStart"/>
      <w:r w:rsidRPr="007E6425">
        <w:rPr>
          <w:rFonts w:ascii="Times New Roman" w:eastAsia="Times New Roman" w:hAnsi="Times New Roman" w:cs="Times New Roman"/>
          <w:snapToGrid w:val="0"/>
          <w:sz w:val="24"/>
          <w:szCs w:val="24"/>
          <w:lang w:eastAsia="ru-RU"/>
        </w:rPr>
        <w:t>летрозола</w:t>
      </w:r>
      <w:proofErr w:type="spellEnd"/>
      <w:r w:rsidRPr="007E6425">
        <w:rPr>
          <w:rFonts w:ascii="Times New Roman" w:eastAsia="Times New Roman" w:hAnsi="Times New Roman" w:cs="Times New Roman"/>
          <w:snapToGrid w:val="0"/>
          <w:sz w:val="24"/>
          <w:szCs w:val="24"/>
          <w:lang w:eastAsia="ru-RU"/>
        </w:rPr>
        <w:t xml:space="preserve"> и плацебо. </w:t>
      </w:r>
    </w:p>
    <w:p w14:paraId="5445D349"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В дополнительном исследовании качества жизни не было обнаружено значительных различий по общим физическим и суммарным психическим показателям, или по баллам других доменов шкалы SF-36. По шкале MENQOL достоверно большее количество пациенток в группе, получавшей </w:t>
      </w:r>
      <w:proofErr w:type="spellStart"/>
      <w:r w:rsidRPr="007E6425">
        <w:rPr>
          <w:rFonts w:ascii="Times New Roman" w:eastAsia="Times New Roman" w:hAnsi="Times New Roman" w:cs="Times New Roman"/>
          <w:snapToGrid w:val="0"/>
          <w:sz w:val="24"/>
          <w:szCs w:val="24"/>
          <w:lang w:eastAsia="ru-RU"/>
        </w:rPr>
        <w:t>летрозол</w:t>
      </w:r>
      <w:proofErr w:type="spellEnd"/>
      <w:r w:rsidRPr="007E6425">
        <w:rPr>
          <w:rFonts w:ascii="Times New Roman" w:eastAsia="Times New Roman" w:hAnsi="Times New Roman" w:cs="Times New Roman"/>
          <w:snapToGrid w:val="0"/>
          <w:sz w:val="24"/>
          <w:szCs w:val="24"/>
          <w:lang w:eastAsia="ru-RU"/>
        </w:rPr>
        <w:t xml:space="preserve">, по сравнению с плацебо, имели жалобы (обычно на первом году лечения), связанные с симптомами лишения эстрогенов - горячие приливы и сухость влагалища). Миалгия была симптомом, беспокоившим пациенток обеих групп, причём её частота была достоверно выше в группе плацебо. </w:t>
      </w:r>
    </w:p>
    <w:p w14:paraId="15C7836B"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i/>
          <w:snapToGrid w:val="0"/>
          <w:sz w:val="24"/>
          <w:szCs w:val="24"/>
          <w:lang w:eastAsia="ru-RU"/>
        </w:rPr>
      </w:pPr>
      <w:proofErr w:type="spellStart"/>
      <w:r w:rsidRPr="007E6425">
        <w:rPr>
          <w:rFonts w:ascii="Times New Roman" w:eastAsia="Times New Roman" w:hAnsi="Times New Roman" w:cs="Times New Roman"/>
          <w:i/>
          <w:snapToGrid w:val="0"/>
          <w:sz w:val="24"/>
          <w:szCs w:val="24"/>
          <w:lang w:eastAsia="ru-RU"/>
        </w:rPr>
        <w:t>Неоадъювантная</w:t>
      </w:r>
      <w:proofErr w:type="spellEnd"/>
      <w:r w:rsidRPr="007E6425">
        <w:rPr>
          <w:rFonts w:ascii="Times New Roman" w:eastAsia="Times New Roman" w:hAnsi="Times New Roman" w:cs="Times New Roman"/>
          <w:i/>
          <w:snapToGrid w:val="0"/>
          <w:sz w:val="24"/>
          <w:szCs w:val="24"/>
          <w:lang w:eastAsia="ru-RU"/>
        </w:rPr>
        <w:t xml:space="preserve"> терапия</w:t>
      </w:r>
    </w:p>
    <w:p w14:paraId="220968EE"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Было проведено двойное слепое исследование с участием 337 женщин в постменопаузе с раком молочной железы. Пациентки были рандомизированы в две группы, </w:t>
      </w:r>
      <w:r w:rsidRPr="007E6425">
        <w:rPr>
          <w:rFonts w:ascii="Times New Roman" w:eastAsia="Times New Roman" w:hAnsi="Times New Roman" w:cs="Times New Roman"/>
          <w:snapToGrid w:val="0"/>
          <w:sz w:val="24"/>
          <w:szCs w:val="24"/>
          <w:lang w:eastAsia="ru-RU"/>
        </w:rPr>
        <w:lastRenderedPageBreak/>
        <w:t xml:space="preserve">получавшие либо </w:t>
      </w:r>
      <w:proofErr w:type="spellStart"/>
      <w:r w:rsidRPr="007E6425">
        <w:rPr>
          <w:rFonts w:ascii="Times New Roman" w:eastAsia="Times New Roman" w:hAnsi="Times New Roman" w:cs="Times New Roman"/>
          <w:snapToGrid w:val="0"/>
          <w:sz w:val="24"/>
          <w:szCs w:val="24"/>
          <w:lang w:eastAsia="ru-RU"/>
        </w:rPr>
        <w:t>летрозол</w:t>
      </w:r>
      <w:proofErr w:type="spellEnd"/>
      <w:r w:rsidRPr="007E6425">
        <w:rPr>
          <w:rFonts w:ascii="Times New Roman" w:eastAsia="Times New Roman" w:hAnsi="Times New Roman" w:cs="Times New Roman"/>
          <w:snapToGrid w:val="0"/>
          <w:sz w:val="24"/>
          <w:szCs w:val="24"/>
          <w:lang w:eastAsia="ru-RU"/>
        </w:rPr>
        <w:t xml:space="preserve"> (2.5 мг), либо тамоксифен в течение 4 месяцев. В исходном состоянии стадии опухоли у всех больных были Т2-Т4, N0-2, M0, ER и/или </w:t>
      </w:r>
      <w:proofErr w:type="spellStart"/>
      <w:r w:rsidRPr="007E6425">
        <w:rPr>
          <w:rFonts w:ascii="Times New Roman" w:eastAsia="Times New Roman" w:hAnsi="Times New Roman" w:cs="Times New Roman"/>
          <w:snapToGrid w:val="0"/>
          <w:sz w:val="24"/>
          <w:szCs w:val="24"/>
          <w:lang w:eastAsia="ru-RU"/>
        </w:rPr>
        <w:t>PgR</w:t>
      </w:r>
      <w:proofErr w:type="spellEnd"/>
      <w:r w:rsidRPr="007E6425">
        <w:rPr>
          <w:rFonts w:ascii="Times New Roman" w:eastAsia="Times New Roman" w:hAnsi="Times New Roman" w:cs="Times New Roman"/>
          <w:snapToGrid w:val="0"/>
          <w:sz w:val="24"/>
          <w:szCs w:val="24"/>
          <w:lang w:eastAsia="ru-RU"/>
        </w:rPr>
        <w:t xml:space="preserve"> положительные, и ни одна из пациенток не подходила для проведения органосохраняющей операции молочной железы. Клиническая оценка показала, что в 55% случаев наблюдался объективный ответ на лечение </w:t>
      </w:r>
      <w:proofErr w:type="spellStart"/>
      <w:r w:rsidRPr="007E6425">
        <w:rPr>
          <w:rFonts w:ascii="Times New Roman" w:eastAsia="Times New Roman" w:hAnsi="Times New Roman" w:cs="Times New Roman"/>
          <w:snapToGrid w:val="0"/>
          <w:sz w:val="24"/>
          <w:szCs w:val="24"/>
          <w:lang w:eastAsia="ru-RU"/>
        </w:rPr>
        <w:t>летрозолом</w:t>
      </w:r>
      <w:proofErr w:type="spellEnd"/>
      <w:r w:rsidRPr="007E6425">
        <w:rPr>
          <w:rFonts w:ascii="Times New Roman" w:eastAsia="Times New Roman" w:hAnsi="Times New Roman" w:cs="Times New Roman"/>
          <w:snapToGrid w:val="0"/>
          <w:sz w:val="24"/>
          <w:szCs w:val="24"/>
          <w:lang w:eastAsia="ru-RU"/>
        </w:rPr>
        <w:t>, по сравнению с 36% в группе тамоксифена (</w:t>
      </w:r>
      <w:r w:rsidRPr="007E6425">
        <w:rPr>
          <w:rFonts w:ascii="Times New Roman" w:eastAsia="Times New Roman" w:hAnsi="Times New Roman" w:cs="Times New Roman"/>
          <w:i/>
          <w:iCs/>
          <w:snapToGrid w:val="0"/>
          <w:sz w:val="24"/>
          <w:szCs w:val="24"/>
          <w:lang w:eastAsia="ru-RU"/>
        </w:rPr>
        <w:t>P</w:t>
      </w:r>
      <w:r w:rsidRPr="007E6425">
        <w:rPr>
          <w:rFonts w:ascii="Times New Roman" w:eastAsia="Times New Roman" w:hAnsi="Times New Roman" w:cs="Times New Roman"/>
          <w:snapToGrid w:val="0"/>
          <w:sz w:val="24"/>
          <w:szCs w:val="24"/>
          <w:lang w:eastAsia="ru-RU"/>
        </w:rPr>
        <w:t>&lt;0.001). Это наблюдение было подтверждено УЗИ (</w:t>
      </w:r>
      <w:proofErr w:type="spellStart"/>
      <w:r w:rsidRPr="007E6425">
        <w:rPr>
          <w:rFonts w:ascii="Times New Roman" w:eastAsia="Times New Roman" w:hAnsi="Times New Roman" w:cs="Times New Roman"/>
          <w:snapToGrid w:val="0"/>
          <w:sz w:val="24"/>
          <w:szCs w:val="24"/>
          <w:lang w:eastAsia="ru-RU"/>
        </w:rPr>
        <w:t>летрозол</w:t>
      </w:r>
      <w:proofErr w:type="spellEnd"/>
      <w:r w:rsidRPr="007E6425">
        <w:rPr>
          <w:rFonts w:ascii="Times New Roman" w:eastAsia="Times New Roman" w:hAnsi="Times New Roman" w:cs="Times New Roman"/>
          <w:snapToGrid w:val="0"/>
          <w:sz w:val="24"/>
          <w:szCs w:val="24"/>
          <w:lang w:eastAsia="ru-RU"/>
        </w:rPr>
        <w:t xml:space="preserve"> 35%, тамоксифен 25%, </w:t>
      </w:r>
      <w:r w:rsidRPr="007E6425">
        <w:rPr>
          <w:rFonts w:ascii="Times New Roman" w:eastAsia="Times New Roman" w:hAnsi="Times New Roman" w:cs="Times New Roman"/>
          <w:i/>
          <w:iCs/>
          <w:snapToGrid w:val="0"/>
          <w:sz w:val="24"/>
          <w:szCs w:val="24"/>
          <w:lang w:eastAsia="ru-RU"/>
        </w:rPr>
        <w:t>P</w:t>
      </w:r>
      <w:r w:rsidRPr="007E6425">
        <w:rPr>
          <w:rFonts w:ascii="Times New Roman" w:eastAsia="Times New Roman" w:hAnsi="Times New Roman" w:cs="Times New Roman"/>
          <w:snapToGrid w:val="0"/>
          <w:sz w:val="24"/>
          <w:szCs w:val="24"/>
          <w:lang w:eastAsia="ru-RU"/>
        </w:rPr>
        <w:t>=0.04) и маммографией (</w:t>
      </w:r>
      <w:proofErr w:type="spellStart"/>
      <w:r w:rsidRPr="007E6425">
        <w:rPr>
          <w:rFonts w:ascii="Times New Roman" w:eastAsia="Times New Roman" w:hAnsi="Times New Roman" w:cs="Times New Roman"/>
          <w:snapToGrid w:val="0"/>
          <w:sz w:val="24"/>
          <w:szCs w:val="24"/>
          <w:lang w:eastAsia="ru-RU"/>
        </w:rPr>
        <w:t>летрозол</w:t>
      </w:r>
      <w:proofErr w:type="spellEnd"/>
      <w:r w:rsidRPr="007E6425">
        <w:rPr>
          <w:rFonts w:ascii="Times New Roman" w:eastAsia="Times New Roman" w:hAnsi="Times New Roman" w:cs="Times New Roman"/>
          <w:snapToGrid w:val="0"/>
          <w:sz w:val="24"/>
          <w:szCs w:val="24"/>
          <w:lang w:eastAsia="ru-RU"/>
        </w:rPr>
        <w:t xml:space="preserve"> 34%, тамоксифен 16% (</w:t>
      </w:r>
      <w:r w:rsidRPr="007E6425">
        <w:rPr>
          <w:rFonts w:ascii="Times New Roman" w:eastAsia="Times New Roman" w:hAnsi="Times New Roman" w:cs="Times New Roman"/>
          <w:i/>
          <w:iCs/>
          <w:snapToGrid w:val="0"/>
          <w:sz w:val="24"/>
          <w:szCs w:val="24"/>
          <w:lang w:eastAsia="ru-RU"/>
        </w:rPr>
        <w:t>P</w:t>
      </w:r>
      <w:r w:rsidRPr="007E6425">
        <w:rPr>
          <w:rFonts w:ascii="Times New Roman" w:eastAsia="Times New Roman" w:hAnsi="Times New Roman" w:cs="Times New Roman"/>
          <w:snapToGrid w:val="0"/>
          <w:sz w:val="24"/>
          <w:szCs w:val="24"/>
          <w:lang w:eastAsia="ru-RU"/>
        </w:rPr>
        <w:t xml:space="preserve">&lt;0.001). В общей сложности у 45% больных, получавших </w:t>
      </w:r>
      <w:proofErr w:type="spellStart"/>
      <w:r w:rsidRPr="007E6425">
        <w:rPr>
          <w:rFonts w:ascii="Times New Roman" w:eastAsia="Times New Roman" w:hAnsi="Times New Roman" w:cs="Times New Roman"/>
          <w:snapToGrid w:val="0"/>
          <w:sz w:val="24"/>
          <w:szCs w:val="24"/>
          <w:lang w:eastAsia="ru-RU"/>
        </w:rPr>
        <w:t>летрозол</w:t>
      </w:r>
      <w:proofErr w:type="spellEnd"/>
      <w:r w:rsidRPr="007E6425">
        <w:rPr>
          <w:rFonts w:ascii="Times New Roman" w:eastAsia="Times New Roman" w:hAnsi="Times New Roman" w:cs="Times New Roman"/>
          <w:snapToGrid w:val="0"/>
          <w:sz w:val="24"/>
          <w:szCs w:val="24"/>
          <w:lang w:eastAsia="ru-RU"/>
        </w:rPr>
        <w:t xml:space="preserve">, и у 35% больных, получавших тамоксифен (Р=0.02), было проведено органосохраняющее хирургическое вмешательство. За 4-месячный предоперационный период лечения при клинической оценке пациенток у 12% больных группы </w:t>
      </w:r>
      <w:proofErr w:type="spellStart"/>
      <w:r w:rsidRPr="007E6425">
        <w:rPr>
          <w:rFonts w:ascii="Times New Roman" w:eastAsia="Times New Roman" w:hAnsi="Times New Roman" w:cs="Times New Roman"/>
          <w:snapToGrid w:val="0"/>
          <w:sz w:val="24"/>
          <w:szCs w:val="24"/>
          <w:lang w:eastAsia="ru-RU"/>
        </w:rPr>
        <w:t>летрозола</w:t>
      </w:r>
      <w:proofErr w:type="spellEnd"/>
      <w:r w:rsidRPr="007E6425">
        <w:rPr>
          <w:rFonts w:ascii="Times New Roman" w:eastAsia="Times New Roman" w:hAnsi="Times New Roman" w:cs="Times New Roman"/>
          <w:snapToGrid w:val="0"/>
          <w:sz w:val="24"/>
          <w:szCs w:val="24"/>
          <w:lang w:eastAsia="ru-RU"/>
        </w:rPr>
        <w:t xml:space="preserve"> и у 17% больных группы тамоксифена наблюдалось прогрессирование заболевания.</w:t>
      </w:r>
    </w:p>
    <w:p w14:paraId="5E0B29C2"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i/>
          <w:snapToGrid w:val="0"/>
          <w:sz w:val="24"/>
          <w:szCs w:val="24"/>
          <w:lang w:eastAsia="ru-RU"/>
        </w:rPr>
      </w:pPr>
      <w:r w:rsidRPr="007E6425">
        <w:rPr>
          <w:rFonts w:ascii="Times New Roman" w:eastAsia="Times New Roman" w:hAnsi="Times New Roman" w:cs="Times New Roman"/>
          <w:i/>
          <w:snapToGrid w:val="0"/>
          <w:sz w:val="24"/>
          <w:szCs w:val="24"/>
          <w:lang w:eastAsia="ru-RU"/>
        </w:rPr>
        <w:t xml:space="preserve">Терапия первой линии </w:t>
      </w:r>
    </w:p>
    <w:p w14:paraId="6D4DD343" w14:textId="47BC07D0"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Было проведено одно контролируемое двойное слепое исследование для сравнения </w:t>
      </w:r>
      <w:r w:rsidR="005217E5">
        <w:rPr>
          <w:rFonts w:ascii="Times New Roman" w:eastAsia="Times New Roman" w:hAnsi="Times New Roman" w:cs="Times New Roman"/>
          <w:snapToGrid w:val="0"/>
          <w:sz w:val="24"/>
          <w:szCs w:val="24"/>
          <w:lang w:eastAsia="ru-RU"/>
        </w:rPr>
        <w:t xml:space="preserve">    </w:t>
      </w:r>
      <w:r w:rsidRPr="007E6425">
        <w:rPr>
          <w:rFonts w:ascii="Times New Roman" w:eastAsia="Times New Roman" w:hAnsi="Times New Roman" w:cs="Times New Roman"/>
          <w:snapToGrid w:val="0"/>
          <w:sz w:val="24"/>
          <w:szCs w:val="24"/>
          <w:lang w:eastAsia="ru-RU"/>
        </w:rPr>
        <w:t xml:space="preserve">2,5 мг </w:t>
      </w:r>
      <w:proofErr w:type="spellStart"/>
      <w:r w:rsidRPr="007E6425">
        <w:rPr>
          <w:rFonts w:ascii="Times New Roman" w:eastAsia="Times New Roman" w:hAnsi="Times New Roman" w:cs="Times New Roman"/>
          <w:snapToGrid w:val="0"/>
          <w:sz w:val="24"/>
          <w:szCs w:val="24"/>
          <w:lang w:eastAsia="ru-RU"/>
        </w:rPr>
        <w:t>летрозола</w:t>
      </w:r>
      <w:proofErr w:type="spellEnd"/>
      <w:r w:rsidRPr="007E6425">
        <w:rPr>
          <w:rFonts w:ascii="Times New Roman" w:eastAsia="Times New Roman" w:hAnsi="Times New Roman" w:cs="Times New Roman"/>
          <w:snapToGrid w:val="0"/>
          <w:sz w:val="24"/>
          <w:szCs w:val="24"/>
          <w:lang w:eastAsia="ru-RU"/>
        </w:rPr>
        <w:t xml:space="preserve"> и 20 мг тамоксифена в качестве первой линии терапии распространенного рака молочной железы у женщин в постменопаузе. У 907 женщин </w:t>
      </w:r>
      <w:proofErr w:type="spellStart"/>
      <w:r w:rsidRPr="007E6425">
        <w:rPr>
          <w:rFonts w:ascii="Times New Roman" w:eastAsia="Times New Roman" w:hAnsi="Times New Roman" w:cs="Times New Roman"/>
          <w:snapToGrid w:val="0"/>
          <w:sz w:val="24"/>
          <w:szCs w:val="24"/>
          <w:lang w:eastAsia="ru-RU"/>
        </w:rPr>
        <w:t>летрозол</w:t>
      </w:r>
      <w:proofErr w:type="spellEnd"/>
      <w:r w:rsidRPr="007E6425">
        <w:rPr>
          <w:rFonts w:ascii="Times New Roman" w:eastAsia="Times New Roman" w:hAnsi="Times New Roman" w:cs="Times New Roman"/>
          <w:snapToGrid w:val="0"/>
          <w:sz w:val="24"/>
          <w:szCs w:val="24"/>
          <w:lang w:eastAsia="ru-RU"/>
        </w:rPr>
        <w:t xml:space="preserve"> имел преимущества перед тамоксифеном по времени до прогрессирования (первичная конечная точка), общему объективному ответу, времени до рецидива на фоне лечения, а также клиническому улучшению.</w:t>
      </w:r>
    </w:p>
    <w:p w14:paraId="5DAE9EBC"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Результаты приведены в таблице 9.</w:t>
      </w:r>
    </w:p>
    <w:p w14:paraId="0F0C73A2"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b/>
          <w:snapToGrid w:val="0"/>
          <w:sz w:val="24"/>
          <w:szCs w:val="24"/>
          <w:lang w:eastAsia="ru-RU"/>
        </w:rPr>
      </w:pPr>
      <w:r w:rsidRPr="007E6425">
        <w:rPr>
          <w:rFonts w:ascii="Times New Roman" w:eastAsia="Times New Roman" w:hAnsi="Times New Roman" w:cs="Times New Roman"/>
          <w:b/>
          <w:snapToGrid w:val="0"/>
          <w:sz w:val="24"/>
          <w:szCs w:val="24"/>
          <w:lang w:eastAsia="ru-RU"/>
        </w:rPr>
        <w:t>Таблица 9 Результаты при медиане длительности наблюдения 32 месяца</w:t>
      </w:r>
      <w:r w:rsidRPr="007E6425">
        <w:rPr>
          <w:rFonts w:ascii="Times New Roman" w:eastAsia="Times New Roman" w:hAnsi="Times New Roman" w:cs="Times New Roman"/>
          <w:snapToGrid w:val="0"/>
          <w:sz w:val="24"/>
          <w:szCs w:val="24"/>
          <w:lang w:eastAsia="ru-RU"/>
        </w:rPr>
        <w:t xml:space="preserve"> </w:t>
      </w:r>
    </w:p>
    <w:tbl>
      <w:tblPr>
        <w:tblW w:w="8954" w:type="dxa"/>
        <w:tblInd w:w="108"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583"/>
        <w:gridCol w:w="3095"/>
        <w:gridCol w:w="2008"/>
        <w:gridCol w:w="2268"/>
      </w:tblGrid>
      <w:tr w:rsidR="007E6425" w:rsidRPr="007E6425" w14:paraId="70943CF4" w14:textId="77777777" w:rsidTr="001F083E">
        <w:trPr>
          <w:trHeight w:val="576"/>
        </w:trPr>
        <w:tc>
          <w:tcPr>
            <w:tcW w:w="1583" w:type="dxa"/>
            <w:tcBorders>
              <w:top w:val="single" w:sz="8" w:space="0" w:color="000000"/>
              <w:bottom w:val="single" w:sz="8" w:space="0" w:color="000000"/>
              <w:right w:val="single" w:sz="8" w:space="0" w:color="000000"/>
            </w:tcBorders>
            <w:shd w:val="clear" w:color="auto" w:fill="FFFFFF"/>
          </w:tcPr>
          <w:p w14:paraId="6BBCBF74"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b/>
                <w:snapToGrid w:val="0"/>
                <w:sz w:val="24"/>
                <w:szCs w:val="24"/>
                <w:lang w:eastAsia="ru-RU"/>
              </w:rPr>
            </w:pPr>
            <w:r w:rsidRPr="007E6425">
              <w:rPr>
                <w:rFonts w:ascii="Times New Roman" w:eastAsia="Times New Roman" w:hAnsi="Times New Roman" w:cs="Times New Roman"/>
                <w:b/>
                <w:snapToGrid w:val="0"/>
                <w:sz w:val="24"/>
                <w:szCs w:val="24"/>
                <w:lang w:eastAsia="ru-RU"/>
              </w:rPr>
              <w:t>Параметр</w:t>
            </w:r>
          </w:p>
        </w:tc>
        <w:tc>
          <w:tcPr>
            <w:tcW w:w="3095" w:type="dxa"/>
            <w:tcBorders>
              <w:top w:val="single" w:sz="8" w:space="0" w:color="000000"/>
              <w:left w:val="single" w:sz="8" w:space="0" w:color="000000"/>
              <w:bottom w:val="single" w:sz="8" w:space="0" w:color="000000"/>
              <w:right w:val="single" w:sz="8" w:space="0" w:color="000000"/>
            </w:tcBorders>
          </w:tcPr>
          <w:p w14:paraId="4309A86C"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b/>
                <w:snapToGrid w:val="0"/>
                <w:sz w:val="24"/>
                <w:szCs w:val="24"/>
                <w:lang w:eastAsia="ru-RU"/>
              </w:rPr>
            </w:pPr>
            <w:r w:rsidRPr="007E6425">
              <w:rPr>
                <w:rFonts w:ascii="Times New Roman" w:eastAsia="Times New Roman" w:hAnsi="Times New Roman" w:cs="Times New Roman"/>
                <w:b/>
                <w:snapToGrid w:val="0"/>
                <w:sz w:val="24"/>
                <w:szCs w:val="24"/>
                <w:lang w:eastAsia="ru-RU"/>
              </w:rPr>
              <w:t>Статистика</w:t>
            </w:r>
          </w:p>
        </w:tc>
        <w:tc>
          <w:tcPr>
            <w:tcW w:w="2008" w:type="dxa"/>
            <w:tcBorders>
              <w:top w:val="single" w:sz="8" w:space="0" w:color="000000"/>
              <w:left w:val="single" w:sz="8" w:space="0" w:color="000000"/>
              <w:bottom w:val="single" w:sz="8" w:space="0" w:color="000000"/>
              <w:right w:val="single" w:sz="8" w:space="0" w:color="000000"/>
            </w:tcBorders>
          </w:tcPr>
          <w:p w14:paraId="648F04A2"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b/>
                <w:snapToGrid w:val="0"/>
                <w:sz w:val="24"/>
                <w:szCs w:val="24"/>
                <w:lang w:eastAsia="ru-RU"/>
              </w:rPr>
            </w:pPr>
            <w:proofErr w:type="spellStart"/>
            <w:r w:rsidRPr="007E6425">
              <w:rPr>
                <w:rFonts w:ascii="Times New Roman" w:eastAsia="Times New Roman" w:hAnsi="Times New Roman" w:cs="Times New Roman"/>
                <w:b/>
                <w:snapToGrid w:val="0"/>
                <w:sz w:val="24"/>
                <w:szCs w:val="24"/>
                <w:lang w:eastAsia="ru-RU"/>
              </w:rPr>
              <w:t>Летрозол</w:t>
            </w:r>
            <w:proofErr w:type="spellEnd"/>
          </w:p>
          <w:p w14:paraId="5DB1AD0A"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b/>
                <w:bCs/>
                <w:snapToGrid w:val="0"/>
                <w:sz w:val="24"/>
                <w:szCs w:val="24"/>
                <w:lang w:eastAsia="ru-RU"/>
              </w:rPr>
              <w:t>N</w:t>
            </w:r>
            <w:r w:rsidRPr="007E6425">
              <w:rPr>
                <w:rFonts w:ascii="Times New Roman" w:eastAsia="Times New Roman" w:hAnsi="Times New Roman" w:cs="Times New Roman"/>
                <w:b/>
                <w:snapToGrid w:val="0"/>
                <w:sz w:val="24"/>
                <w:szCs w:val="24"/>
                <w:lang w:eastAsia="ru-RU"/>
              </w:rPr>
              <w:t>=453</w:t>
            </w:r>
          </w:p>
        </w:tc>
        <w:tc>
          <w:tcPr>
            <w:tcW w:w="2268" w:type="dxa"/>
            <w:tcBorders>
              <w:top w:val="single" w:sz="8" w:space="0" w:color="000000"/>
              <w:left w:val="single" w:sz="8" w:space="0" w:color="000000"/>
              <w:bottom w:val="single" w:sz="8" w:space="0" w:color="000000"/>
            </w:tcBorders>
          </w:tcPr>
          <w:p w14:paraId="044851F2"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b/>
                <w:snapToGrid w:val="0"/>
                <w:sz w:val="24"/>
                <w:szCs w:val="24"/>
                <w:lang w:eastAsia="ru-RU"/>
              </w:rPr>
            </w:pPr>
            <w:r w:rsidRPr="007E6425">
              <w:rPr>
                <w:rFonts w:ascii="Times New Roman" w:eastAsia="Times New Roman" w:hAnsi="Times New Roman" w:cs="Times New Roman"/>
                <w:b/>
                <w:snapToGrid w:val="0"/>
                <w:sz w:val="24"/>
                <w:szCs w:val="24"/>
                <w:lang w:eastAsia="ru-RU"/>
              </w:rPr>
              <w:t>Тамоксифен</w:t>
            </w:r>
          </w:p>
          <w:p w14:paraId="657C674F"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b/>
                <w:bCs/>
                <w:snapToGrid w:val="0"/>
                <w:sz w:val="24"/>
                <w:szCs w:val="24"/>
                <w:lang w:eastAsia="ru-RU"/>
              </w:rPr>
              <w:t>N</w:t>
            </w:r>
            <w:r w:rsidRPr="007E6425">
              <w:rPr>
                <w:rFonts w:ascii="Times New Roman" w:eastAsia="Times New Roman" w:hAnsi="Times New Roman" w:cs="Times New Roman"/>
                <w:b/>
                <w:snapToGrid w:val="0"/>
                <w:sz w:val="24"/>
                <w:szCs w:val="24"/>
                <w:lang w:eastAsia="ru-RU"/>
              </w:rPr>
              <w:t>=454</w:t>
            </w:r>
          </w:p>
        </w:tc>
      </w:tr>
      <w:tr w:rsidR="007E6425" w:rsidRPr="007E6425" w14:paraId="62A9B0D1" w14:textId="77777777" w:rsidTr="001F083E">
        <w:trPr>
          <w:trHeight w:val="2258"/>
        </w:trPr>
        <w:tc>
          <w:tcPr>
            <w:tcW w:w="1583" w:type="dxa"/>
            <w:tcBorders>
              <w:top w:val="single" w:sz="8" w:space="0" w:color="000000"/>
              <w:bottom w:val="single" w:sz="8" w:space="0" w:color="000000"/>
              <w:right w:val="single" w:sz="8" w:space="0" w:color="000000"/>
            </w:tcBorders>
          </w:tcPr>
          <w:p w14:paraId="01F35521"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b/>
                <w:snapToGrid w:val="0"/>
                <w:sz w:val="24"/>
                <w:szCs w:val="24"/>
                <w:lang w:eastAsia="ru-RU"/>
              </w:rPr>
            </w:pPr>
          </w:p>
          <w:p w14:paraId="6F158975"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b/>
                <w:snapToGrid w:val="0"/>
                <w:sz w:val="24"/>
                <w:szCs w:val="24"/>
                <w:lang w:eastAsia="ru-RU"/>
              </w:rPr>
            </w:pPr>
            <w:r w:rsidRPr="007E6425">
              <w:rPr>
                <w:rFonts w:ascii="Times New Roman" w:eastAsia="Times New Roman" w:hAnsi="Times New Roman" w:cs="Times New Roman"/>
                <w:b/>
                <w:snapToGrid w:val="0"/>
                <w:sz w:val="24"/>
                <w:szCs w:val="24"/>
                <w:lang w:eastAsia="ru-RU"/>
              </w:rPr>
              <w:t xml:space="preserve">Время до </w:t>
            </w:r>
            <w:proofErr w:type="spellStart"/>
            <w:r w:rsidRPr="007E6425">
              <w:rPr>
                <w:rFonts w:ascii="Times New Roman" w:eastAsia="Times New Roman" w:hAnsi="Times New Roman" w:cs="Times New Roman"/>
                <w:b/>
                <w:snapToGrid w:val="0"/>
                <w:sz w:val="24"/>
                <w:szCs w:val="24"/>
                <w:lang w:eastAsia="ru-RU"/>
              </w:rPr>
              <w:t>прогрессиро-вания</w:t>
            </w:r>
            <w:proofErr w:type="spellEnd"/>
            <w:r w:rsidRPr="007E6425">
              <w:rPr>
                <w:rFonts w:ascii="Times New Roman" w:eastAsia="Times New Roman" w:hAnsi="Times New Roman" w:cs="Times New Roman"/>
                <w:b/>
                <w:snapToGrid w:val="0"/>
                <w:sz w:val="24"/>
                <w:szCs w:val="24"/>
                <w:lang w:eastAsia="ru-RU"/>
              </w:rPr>
              <w:t xml:space="preserve"> </w:t>
            </w:r>
          </w:p>
          <w:p w14:paraId="28474FBC"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b/>
                <w:snapToGrid w:val="0"/>
                <w:sz w:val="24"/>
                <w:szCs w:val="24"/>
                <w:lang w:eastAsia="ru-RU"/>
              </w:rPr>
            </w:pPr>
          </w:p>
        </w:tc>
        <w:tc>
          <w:tcPr>
            <w:tcW w:w="3095" w:type="dxa"/>
            <w:tcBorders>
              <w:top w:val="single" w:sz="8" w:space="0" w:color="000000"/>
              <w:left w:val="single" w:sz="8" w:space="0" w:color="000000"/>
              <w:bottom w:val="single" w:sz="8" w:space="0" w:color="000000"/>
              <w:right w:val="single" w:sz="8" w:space="0" w:color="000000"/>
            </w:tcBorders>
          </w:tcPr>
          <w:p w14:paraId="52CA9E03"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Медиана </w:t>
            </w:r>
          </w:p>
          <w:p w14:paraId="421CB434"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(95% ДИ для медианы) </w:t>
            </w:r>
          </w:p>
          <w:p w14:paraId="623A03EF"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p>
          <w:p w14:paraId="66B5C7E1"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Отношение рисков</w:t>
            </w:r>
          </w:p>
          <w:p w14:paraId="66C1FDB2"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(95% ДИ для отношения рисков) </w:t>
            </w:r>
          </w:p>
          <w:p w14:paraId="3B2E7247"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p>
          <w:p w14:paraId="7FE2D4BF"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Значение Р</w:t>
            </w:r>
          </w:p>
        </w:tc>
        <w:tc>
          <w:tcPr>
            <w:tcW w:w="4276" w:type="dxa"/>
            <w:gridSpan w:val="2"/>
            <w:tcBorders>
              <w:top w:val="single" w:sz="8" w:space="0" w:color="000000"/>
              <w:left w:val="single" w:sz="8" w:space="0" w:color="000000"/>
              <w:bottom w:val="single" w:sz="8" w:space="0" w:color="000000"/>
            </w:tcBorders>
          </w:tcPr>
          <w:p w14:paraId="3C08A41D" w14:textId="77777777" w:rsidR="007E6425" w:rsidRPr="007E6425" w:rsidRDefault="007E6425" w:rsidP="00F602A1">
            <w:pPr>
              <w:autoSpaceDE w:val="0"/>
              <w:autoSpaceDN w:val="0"/>
              <w:adjustRightInd w:val="0"/>
              <w:spacing w:after="0" w:line="240" w:lineRule="auto"/>
              <w:ind w:right="283"/>
              <w:jc w:val="center"/>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9,4 месяцев               6,0 месяцев</w:t>
            </w:r>
          </w:p>
          <w:p w14:paraId="328CC8C6" w14:textId="77777777" w:rsidR="007E6425" w:rsidRPr="007E6425" w:rsidRDefault="007E6425" w:rsidP="00F602A1">
            <w:pPr>
              <w:autoSpaceDE w:val="0"/>
              <w:autoSpaceDN w:val="0"/>
              <w:adjustRightInd w:val="0"/>
              <w:spacing w:after="0" w:line="240" w:lineRule="auto"/>
              <w:ind w:right="283"/>
              <w:jc w:val="center"/>
              <w:rPr>
                <w:rFonts w:ascii="Times New Roman" w:eastAsia="Times New Roman" w:hAnsi="Times New Roman" w:cs="Times New Roman"/>
                <w:snapToGrid w:val="0"/>
                <w:sz w:val="24"/>
                <w:szCs w:val="24"/>
                <w:lang w:eastAsia="ru-RU"/>
              </w:rPr>
            </w:pPr>
          </w:p>
          <w:p w14:paraId="5DFF1E68" w14:textId="77777777" w:rsidR="007E6425" w:rsidRPr="007E6425" w:rsidRDefault="007E6425" w:rsidP="00F602A1">
            <w:pPr>
              <w:autoSpaceDE w:val="0"/>
              <w:autoSpaceDN w:val="0"/>
              <w:adjustRightInd w:val="0"/>
              <w:spacing w:after="0" w:line="240" w:lineRule="auto"/>
              <w:ind w:right="283"/>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(8,9, 11,6 месяцев)     (5,4, 6,3 месяцев)</w:t>
            </w:r>
          </w:p>
          <w:p w14:paraId="1F3E6AC1" w14:textId="77777777" w:rsidR="007E6425" w:rsidRPr="007E6425" w:rsidRDefault="007E6425" w:rsidP="00F602A1">
            <w:pPr>
              <w:autoSpaceDE w:val="0"/>
              <w:autoSpaceDN w:val="0"/>
              <w:adjustRightInd w:val="0"/>
              <w:spacing w:after="0" w:line="240" w:lineRule="auto"/>
              <w:ind w:right="283"/>
              <w:jc w:val="center"/>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0,72</w:t>
            </w:r>
          </w:p>
          <w:p w14:paraId="389221F7" w14:textId="77777777" w:rsidR="007E6425" w:rsidRPr="007E6425" w:rsidRDefault="007E6425" w:rsidP="00F602A1">
            <w:pPr>
              <w:autoSpaceDE w:val="0"/>
              <w:autoSpaceDN w:val="0"/>
              <w:adjustRightInd w:val="0"/>
              <w:spacing w:after="0" w:line="240" w:lineRule="auto"/>
              <w:ind w:right="283"/>
              <w:jc w:val="center"/>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(0,62, 0,83)</w:t>
            </w:r>
          </w:p>
          <w:p w14:paraId="592DCEE1" w14:textId="77777777" w:rsidR="007E6425" w:rsidRPr="007E6425" w:rsidRDefault="007E6425" w:rsidP="00F602A1">
            <w:pPr>
              <w:autoSpaceDE w:val="0"/>
              <w:autoSpaceDN w:val="0"/>
              <w:adjustRightInd w:val="0"/>
              <w:spacing w:after="0" w:line="240" w:lineRule="auto"/>
              <w:ind w:right="283"/>
              <w:jc w:val="center"/>
              <w:rPr>
                <w:rFonts w:ascii="Times New Roman" w:eastAsia="Times New Roman" w:hAnsi="Times New Roman" w:cs="Times New Roman"/>
                <w:snapToGrid w:val="0"/>
                <w:sz w:val="24"/>
                <w:szCs w:val="24"/>
                <w:lang w:eastAsia="ru-RU"/>
              </w:rPr>
            </w:pPr>
          </w:p>
          <w:p w14:paraId="4D6678E3" w14:textId="77777777" w:rsidR="007E6425" w:rsidRPr="007E6425" w:rsidRDefault="007E6425" w:rsidP="00F602A1">
            <w:pPr>
              <w:autoSpaceDE w:val="0"/>
              <w:autoSpaceDN w:val="0"/>
              <w:adjustRightInd w:val="0"/>
              <w:spacing w:after="0" w:line="240" w:lineRule="auto"/>
              <w:ind w:right="283"/>
              <w:jc w:val="center"/>
              <w:rPr>
                <w:rFonts w:ascii="Times New Roman" w:eastAsia="Times New Roman" w:hAnsi="Times New Roman" w:cs="Times New Roman"/>
                <w:snapToGrid w:val="0"/>
                <w:sz w:val="24"/>
                <w:szCs w:val="24"/>
                <w:lang w:eastAsia="ru-RU"/>
              </w:rPr>
            </w:pPr>
          </w:p>
          <w:p w14:paraId="6F386C90" w14:textId="77777777" w:rsidR="007E6425" w:rsidRPr="007E6425" w:rsidRDefault="007E6425" w:rsidP="00F602A1">
            <w:pPr>
              <w:autoSpaceDE w:val="0"/>
              <w:autoSpaceDN w:val="0"/>
              <w:adjustRightInd w:val="0"/>
              <w:spacing w:after="0" w:line="240" w:lineRule="auto"/>
              <w:ind w:right="283"/>
              <w:jc w:val="center"/>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&lt;0,0001</w:t>
            </w:r>
          </w:p>
        </w:tc>
      </w:tr>
      <w:tr w:rsidR="007E6425" w:rsidRPr="007E6425" w14:paraId="3ACD518A" w14:textId="77777777" w:rsidTr="001F083E">
        <w:trPr>
          <w:trHeight w:val="835"/>
        </w:trPr>
        <w:tc>
          <w:tcPr>
            <w:tcW w:w="1583" w:type="dxa"/>
            <w:tcBorders>
              <w:top w:val="single" w:sz="8" w:space="0" w:color="000000"/>
              <w:bottom w:val="single" w:sz="8" w:space="0" w:color="000000"/>
              <w:right w:val="single" w:sz="8" w:space="0" w:color="000000"/>
            </w:tcBorders>
            <w:shd w:val="clear" w:color="auto" w:fill="FFFFFF"/>
          </w:tcPr>
          <w:p w14:paraId="22F14055"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b/>
                <w:snapToGrid w:val="0"/>
                <w:sz w:val="24"/>
                <w:szCs w:val="24"/>
                <w:lang w:eastAsia="ru-RU"/>
              </w:rPr>
            </w:pPr>
            <w:r w:rsidRPr="007E6425">
              <w:rPr>
                <w:rFonts w:ascii="Times New Roman" w:eastAsia="Times New Roman" w:hAnsi="Times New Roman" w:cs="Times New Roman"/>
                <w:b/>
                <w:snapToGrid w:val="0"/>
                <w:sz w:val="24"/>
                <w:szCs w:val="24"/>
                <w:lang w:eastAsia="ru-RU"/>
              </w:rPr>
              <w:t xml:space="preserve">Частота объективно-го ответа </w:t>
            </w:r>
          </w:p>
          <w:p w14:paraId="1C3DC0C4"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b/>
                <w:snapToGrid w:val="0"/>
                <w:sz w:val="24"/>
                <w:szCs w:val="24"/>
                <w:lang w:eastAsia="ru-RU"/>
              </w:rPr>
            </w:pPr>
            <w:r w:rsidRPr="007E6425">
              <w:rPr>
                <w:rFonts w:ascii="Times New Roman" w:eastAsia="Times New Roman" w:hAnsi="Times New Roman" w:cs="Times New Roman"/>
                <w:b/>
                <w:snapToGrid w:val="0"/>
                <w:sz w:val="24"/>
                <w:szCs w:val="24"/>
                <w:lang w:eastAsia="ru-RU"/>
              </w:rPr>
              <w:t xml:space="preserve">(ЧОО) </w:t>
            </w:r>
          </w:p>
        </w:tc>
        <w:tc>
          <w:tcPr>
            <w:tcW w:w="3095" w:type="dxa"/>
            <w:tcBorders>
              <w:top w:val="single" w:sz="8" w:space="0" w:color="000000"/>
              <w:left w:val="single" w:sz="8" w:space="0" w:color="000000"/>
              <w:bottom w:val="single" w:sz="8" w:space="0" w:color="000000"/>
              <w:right w:val="single" w:sz="8" w:space="0" w:color="000000"/>
            </w:tcBorders>
          </w:tcPr>
          <w:p w14:paraId="0818E869"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CR+PR </w:t>
            </w:r>
          </w:p>
          <w:p w14:paraId="3E98C961"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(95% ДИ для частоты)</w:t>
            </w:r>
          </w:p>
          <w:p w14:paraId="067261CA"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p>
          <w:p w14:paraId="6D1E23CC"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Отношение вероятности</w:t>
            </w:r>
          </w:p>
          <w:p w14:paraId="385049C3"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(95% ДИ для отношения вероятности) </w:t>
            </w:r>
          </w:p>
          <w:p w14:paraId="7B2A9308"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Значение Р</w:t>
            </w:r>
          </w:p>
        </w:tc>
        <w:tc>
          <w:tcPr>
            <w:tcW w:w="4276" w:type="dxa"/>
            <w:gridSpan w:val="2"/>
            <w:tcBorders>
              <w:top w:val="single" w:sz="8" w:space="0" w:color="000000"/>
              <w:left w:val="single" w:sz="8" w:space="0" w:color="000000"/>
              <w:bottom w:val="single" w:sz="8" w:space="0" w:color="000000"/>
            </w:tcBorders>
          </w:tcPr>
          <w:p w14:paraId="2B5787E7" w14:textId="77777777" w:rsidR="007E6425" w:rsidRPr="007E6425" w:rsidRDefault="007E6425" w:rsidP="00F602A1">
            <w:pPr>
              <w:autoSpaceDE w:val="0"/>
              <w:autoSpaceDN w:val="0"/>
              <w:adjustRightInd w:val="0"/>
              <w:spacing w:after="0" w:line="240" w:lineRule="auto"/>
              <w:ind w:right="283"/>
              <w:jc w:val="center"/>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145 (32%)                           95 (21%)</w:t>
            </w:r>
          </w:p>
          <w:p w14:paraId="58057545" w14:textId="77777777" w:rsidR="007E6425" w:rsidRPr="007E6425" w:rsidRDefault="007E6425" w:rsidP="00F602A1">
            <w:pPr>
              <w:autoSpaceDE w:val="0"/>
              <w:autoSpaceDN w:val="0"/>
              <w:adjustRightInd w:val="0"/>
              <w:spacing w:after="0" w:line="240" w:lineRule="auto"/>
              <w:ind w:right="283"/>
              <w:jc w:val="center"/>
              <w:rPr>
                <w:rFonts w:ascii="Times New Roman" w:eastAsia="Times New Roman" w:hAnsi="Times New Roman" w:cs="Times New Roman"/>
                <w:snapToGrid w:val="0"/>
                <w:sz w:val="24"/>
                <w:szCs w:val="24"/>
                <w:lang w:eastAsia="ru-RU"/>
              </w:rPr>
            </w:pPr>
          </w:p>
          <w:p w14:paraId="6470B56D" w14:textId="77777777" w:rsidR="007E6425" w:rsidRPr="007E6425" w:rsidRDefault="007E6425" w:rsidP="00F602A1">
            <w:pPr>
              <w:autoSpaceDE w:val="0"/>
              <w:autoSpaceDN w:val="0"/>
              <w:adjustRightInd w:val="0"/>
              <w:spacing w:after="0" w:line="240" w:lineRule="auto"/>
              <w:ind w:right="283"/>
              <w:jc w:val="center"/>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(28, 36%)                           (17, 25%)</w:t>
            </w:r>
          </w:p>
          <w:p w14:paraId="52ECFCE0" w14:textId="77777777" w:rsidR="007E6425" w:rsidRPr="007E6425" w:rsidRDefault="007E6425" w:rsidP="00F602A1">
            <w:pPr>
              <w:autoSpaceDE w:val="0"/>
              <w:autoSpaceDN w:val="0"/>
              <w:adjustRightInd w:val="0"/>
              <w:spacing w:after="0" w:line="240" w:lineRule="auto"/>
              <w:ind w:right="283"/>
              <w:jc w:val="center"/>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1,78</w:t>
            </w:r>
          </w:p>
          <w:p w14:paraId="68ADF4E4" w14:textId="77777777" w:rsidR="007E6425" w:rsidRPr="007E6425" w:rsidRDefault="007E6425" w:rsidP="00F602A1">
            <w:pPr>
              <w:autoSpaceDE w:val="0"/>
              <w:autoSpaceDN w:val="0"/>
              <w:adjustRightInd w:val="0"/>
              <w:spacing w:after="0" w:line="240" w:lineRule="auto"/>
              <w:ind w:right="283"/>
              <w:jc w:val="center"/>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(1,32, 2,40)</w:t>
            </w:r>
          </w:p>
          <w:p w14:paraId="7498AEA9" w14:textId="77777777" w:rsidR="007E6425" w:rsidRPr="007E6425" w:rsidRDefault="007E6425" w:rsidP="00F602A1">
            <w:pPr>
              <w:autoSpaceDE w:val="0"/>
              <w:autoSpaceDN w:val="0"/>
              <w:adjustRightInd w:val="0"/>
              <w:spacing w:after="0" w:line="240" w:lineRule="auto"/>
              <w:ind w:right="283"/>
              <w:jc w:val="center"/>
              <w:rPr>
                <w:rFonts w:ascii="Times New Roman" w:eastAsia="Times New Roman" w:hAnsi="Times New Roman" w:cs="Times New Roman"/>
                <w:snapToGrid w:val="0"/>
                <w:sz w:val="24"/>
                <w:szCs w:val="24"/>
                <w:lang w:eastAsia="ru-RU"/>
              </w:rPr>
            </w:pPr>
          </w:p>
          <w:p w14:paraId="20716F73" w14:textId="77777777" w:rsidR="007E6425" w:rsidRPr="007E6425" w:rsidRDefault="007E6425" w:rsidP="00F602A1">
            <w:pPr>
              <w:autoSpaceDE w:val="0"/>
              <w:autoSpaceDN w:val="0"/>
              <w:adjustRightInd w:val="0"/>
              <w:spacing w:after="0" w:line="240" w:lineRule="auto"/>
              <w:ind w:right="283"/>
              <w:jc w:val="center"/>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0,0002</w:t>
            </w:r>
          </w:p>
        </w:tc>
      </w:tr>
    </w:tbl>
    <w:p w14:paraId="71BDEEE6"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В группе </w:t>
      </w:r>
      <w:proofErr w:type="spellStart"/>
      <w:r w:rsidRPr="007E6425">
        <w:rPr>
          <w:rFonts w:ascii="Times New Roman" w:eastAsia="Times New Roman" w:hAnsi="Times New Roman" w:cs="Times New Roman"/>
          <w:snapToGrid w:val="0"/>
          <w:sz w:val="24"/>
          <w:szCs w:val="24"/>
          <w:lang w:eastAsia="ru-RU"/>
        </w:rPr>
        <w:t>летрозола</w:t>
      </w:r>
      <w:proofErr w:type="spellEnd"/>
      <w:r w:rsidRPr="007E6425">
        <w:rPr>
          <w:rFonts w:ascii="Times New Roman" w:eastAsia="Times New Roman" w:hAnsi="Times New Roman" w:cs="Times New Roman"/>
          <w:snapToGrid w:val="0"/>
          <w:sz w:val="24"/>
          <w:szCs w:val="24"/>
          <w:lang w:eastAsia="ru-RU"/>
        </w:rPr>
        <w:t xml:space="preserve"> время до прогрессирования было значительно длительнее, а ответ на терапию значительно выше, не зависимо от применения или отсутствия </w:t>
      </w:r>
      <w:proofErr w:type="spellStart"/>
      <w:r w:rsidRPr="007E6425">
        <w:rPr>
          <w:rFonts w:ascii="Times New Roman" w:eastAsia="Times New Roman" w:hAnsi="Times New Roman" w:cs="Times New Roman"/>
          <w:snapToGrid w:val="0"/>
          <w:sz w:val="24"/>
          <w:szCs w:val="24"/>
          <w:lang w:eastAsia="ru-RU"/>
        </w:rPr>
        <w:t>адъювантной</w:t>
      </w:r>
      <w:proofErr w:type="spellEnd"/>
      <w:r w:rsidRPr="007E6425">
        <w:rPr>
          <w:rFonts w:ascii="Times New Roman" w:eastAsia="Times New Roman" w:hAnsi="Times New Roman" w:cs="Times New Roman"/>
          <w:snapToGrid w:val="0"/>
          <w:sz w:val="24"/>
          <w:szCs w:val="24"/>
          <w:lang w:eastAsia="ru-RU"/>
        </w:rPr>
        <w:t xml:space="preserve"> </w:t>
      </w:r>
      <w:proofErr w:type="spellStart"/>
      <w:r w:rsidRPr="007E6425">
        <w:rPr>
          <w:rFonts w:ascii="Times New Roman" w:eastAsia="Times New Roman" w:hAnsi="Times New Roman" w:cs="Times New Roman"/>
          <w:snapToGrid w:val="0"/>
          <w:sz w:val="24"/>
          <w:szCs w:val="24"/>
          <w:lang w:eastAsia="ru-RU"/>
        </w:rPr>
        <w:t>антиэстрогенной</w:t>
      </w:r>
      <w:proofErr w:type="spellEnd"/>
      <w:r w:rsidRPr="007E6425">
        <w:rPr>
          <w:rFonts w:ascii="Times New Roman" w:eastAsia="Times New Roman" w:hAnsi="Times New Roman" w:cs="Times New Roman"/>
          <w:snapToGrid w:val="0"/>
          <w:sz w:val="24"/>
          <w:szCs w:val="24"/>
          <w:lang w:eastAsia="ru-RU"/>
        </w:rPr>
        <w:t xml:space="preserve"> терапии. Время до прогрессирования было значительно длительнее в группе </w:t>
      </w:r>
      <w:proofErr w:type="spellStart"/>
      <w:r w:rsidRPr="007E6425">
        <w:rPr>
          <w:rFonts w:ascii="Times New Roman" w:eastAsia="Times New Roman" w:hAnsi="Times New Roman" w:cs="Times New Roman"/>
          <w:snapToGrid w:val="0"/>
          <w:sz w:val="24"/>
          <w:szCs w:val="24"/>
          <w:lang w:eastAsia="ru-RU"/>
        </w:rPr>
        <w:t>летрозола</w:t>
      </w:r>
      <w:proofErr w:type="spellEnd"/>
      <w:r w:rsidRPr="007E6425">
        <w:rPr>
          <w:rFonts w:ascii="Times New Roman" w:eastAsia="Times New Roman" w:hAnsi="Times New Roman" w:cs="Times New Roman"/>
          <w:snapToGrid w:val="0"/>
          <w:sz w:val="24"/>
          <w:szCs w:val="24"/>
          <w:lang w:eastAsia="ru-RU"/>
        </w:rPr>
        <w:t xml:space="preserve">, независимо от доминирующей локализации заболевания. Медиана продолжительности периода до прогрессирования у пациенток с поражением только мягких тканей было 12,1 мес. для </w:t>
      </w:r>
      <w:proofErr w:type="spellStart"/>
      <w:r w:rsidRPr="007E6425">
        <w:rPr>
          <w:rFonts w:ascii="Times New Roman" w:eastAsia="Times New Roman" w:hAnsi="Times New Roman" w:cs="Times New Roman"/>
          <w:snapToGrid w:val="0"/>
          <w:sz w:val="24"/>
          <w:szCs w:val="24"/>
          <w:lang w:eastAsia="ru-RU"/>
        </w:rPr>
        <w:t>летрозола</w:t>
      </w:r>
      <w:proofErr w:type="spellEnd"/>
      <w:r w:rsidRPr="007E6425">
        <w:rPr>
          <w:rFonts w:ascii="Times New Roman" w:eastAsia="Times New Roman" w:hAnsi="Times New Roman" w:cs="Times New Roman"/>
          <w:snapToGrid w:val="0"/>
          <w:sz w:val="24"/>
          <w:szCs w:val="24"/>
          <w:lang w:eastAsia="ru-RU"/>
        </w:rPr>
        <w:t xml:space="preserve"> и 6,4 </w:t>
      </w:r>
      <w:proofErr w:type="spellStart"/>
      <w:r w:rsidRPr="007E6425">
        <w:rPr>
          <w:rFonts w:ascii="Times New Roman" w:eastAsia="Times New Roman" w:hAnsi="Times New Roman" w:cs="Times New Roman"/>
          <w:snapToGrid w:val="0"/>
          <w:sz w:val="24"/>
          <w:szCs w:val="24"/>
          <w:lang w:eastAsia="ru-RU"/>
        </w:rPr>
        <w:t>мес</w:t>
      </w:r>
      <w:proofErr w:type="spellEnd"/>
      <w:r w:rsidRPr="007E6425">
        <w:rPr>
          <w:rFonts w:ascii="Times New Roman" w:eastAsia="Times New Roman" w:hAnsi="Times New Roman" w:cs="Times New Roman"/>
          <w:snapToGrid w:val="0"/>
          <w:sz w:val="24"/>
          <w:szCs w:val="24"/>
          <w:lang w:eastAsia="ru-RU"/>
        </w:rPr>
        <w:t xml:space="preserve"> для тамоксифена, а при наличии висцеральных метастазов 8,3 мес. для </w:t>
      </w:r>
      <w:proofErr w:type="spellStart"/>
      <w:r w:rsidRPr="007E6425">
        <w:rPr>
          <w:rFonts w:ascii="Times New Roman" w:eastAsia="Times New Roman" w:hAnsi="Times New Roman" w:cs="Times New Roman"/>
          <w:snapToGrid w:val="0"/>
          <w:sz w:val="24"/>
          <w:szCs w:val="24"/>
          <w:lang w:eastAsia="ru-RU"/>
        </w:rPr>
        <w:t>летрозола</w:t>
      </w:r>
      <w:proofErr w:type="spellEnd"/>
      <w:r w:rsidRPr="007E6425">
        <w:rPr>
          <w:rFonts w:ascii="Times New Roman" w:eastAsia="Times New Roman" w:hAnsi="Times New Roman" w:cs="Times New Roman"/>
          <w:snapToGrid w:val="0"/>
          <w:sz w:val="24"/>
          <w:szCs w:val="24"/>
          <w:lang w:eastAsia="ru-RU"/>
        </w:rPr>
        <w:t xml:space="preserve"> и 4,6 </w:t>
      </w:r>
      <w:proofErr w:type="spellStart"/>
      <w:r w:rsidRPr="007E6425">
        <w:rPr>
          <w:rFonts w:ascii="Times New Roman" w:eastAsia="Times New Roman" w:hAnsi="Times New Roman" w:cs="Times New Roman"/>
          <w:snapToGrid w:val="0"/>
          <w:sz w:val="24"/>
          <w:szCs w:val="24"/>
          <w:lang w:eastAsia="ru-RU"/>
        </w:rPr>
        <w:t>мес</w:t>
      </w:r>
      <w:proofErr w:type="spellEnd"/>
      <w:r w:rsidRPr="007E6425">
        <w:rPr>
          <w:rFonts w:ascii="Times New Roman" w:eastAsia="Times New Roman" w:hAnsi="Times New Roman" w:cs="Times New Roman"/>
          <w:snapToGrid w:val="0"/>
          <w:sz w:val="24"/>
          <w:szCs w:val="24"/>
          <w:lang w:eastAsia="ru-RU"/>
        </w:rPr>
        <w:t xml:space="preserve"> для тамоксифена. </w:t>
      </w:r>
    </w:p>
    <w:p w14:paraId="1E82F09B"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План исследования позволял пациенткам в случае прогрессирования заболевания переходить на другой препарат или выходить из исследования. Примерно 50% пациенток перешли на другой препарат, и переход был практически завершен к 36-му месяцу. Медиана времени до перехода с </w:t>
      </w:r>
      <w:proofErr w:type="spellStart"/>
      <w:r w:rsidRPr="007E6425">
        <w:rPr>
          <w:rFonts w:ascii="Times New Roman" w:eastAsia="Times New Roman" w:hAnsi="Times New Roman" w:cs="Times New Roman"/>
          <w:snapToGrid w:val="0"/>
          <w:sz w:val="24"/>
          <w:szCs w:val="24"/>
          <w:lang w:eastAsia="ru-RU"/>
        </w:rPr>
        <w:t>летрозола</w:t>
      </w:r>
      <w:proofErr w:type="spellEnd"/>
      <w:r w:rsidRPr="007E6425">
        <w:rPr>
          <w:rFonts w:ascii="Times New Roman" w:eastAsia="Times New Roman" w:hAnsi="Times New Roman" w:cs="Times New Roman"/>
          <w:snapToGrid w:val="0"/>
          <w:sz w:val="24"/>
          <w:szCs w:val="24"/>
          <w:lang w:eastAsia="ru-RU"/>
        </w:rPr>
        <w:t xml:space="preserve"> на тамоксифен была 17 месяцев, а медиана времени до перехода с тамоксифена на </w:t>
      </w:r>
      <w:proofErr w:type="spellStart"/>
      <w:r w:rsidRPr="007E6425">
        <w:rPr>
          <w:rFonts w:ascii="Times New Roman" w:eastAsia="Times New Roman" w:hAnsi="Times New Roman" w:cs="Times New Roman"/>
          <w:snapToGrid w:val="0"/>
          <w:sz w:val="24"/>
          <w:szCs w:val="24"/>
          <w:lang w:eastAsia="ru-RU"/>
        </w:rPr>
        <w:t>летрозол</w:t>
      </w:r>
      <w:proofErr w:type="spellEnd"/>
      <w:r w:rsidRPr="007E6425">
        <w:rPr>
          <w:rFonts w:ascii="Times New Roman" w:eastAsia="Times New Roman" w:hAnsi="Times New Roman" w:cs="Times New Roman"/>
          <w:snapToGrid w:val="0"/>
          <w:sz w:val="24"/>
          <w:szCs w:val="24"/>
          <w:lang w:eastAsia="ru-RU"/>
        </w:rPr>
        <w:t xml:space="preserve"> была 13 месяцев. </w:t>
      </w:r>
    </w:p>
    <w:p w14:paraId="20553850"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lastRenderedPageBreak/>
        <w:t xml:space="preserve">Применение </w:t>
      </w:r>
      <w:proofErr w:type="spellStart"/>
      <w:r w:rsidRPr="007E6425">
        <w:rPr>
          <w:rFonts w:ascii="Times New Roman" w:eastAsia="Times New Roman" w:hAnsi="Times New Roman" w:cs="Times New Roman"/>
          <w:snapToGrid w:val="0"/>
          <w:sz w:val="24"/>
          <w:szCs w:val="24"/>
          <w:lang w:eastAsia="ru-RU"/>
        </w:rPr>
        <w:t>летрозола</w:t>
      </w:r>
      <w:proofErr w:type="spellEnd"/>
      <w:r w:rsidRPr="007E6425">
        <w:rPr>
          <w:rFonts w:ascii="Times New Roman" w:eastAsia="Times New Roman" w:hAnsi="Times New Roman" w:cs="Times New Roman"/>
          <w:snapToGrid w:val="0"/>
          <w:sz w:val="24"/>
          <w:szCs w:val="24"/>
          <w:lang w:eastAsia="ru-RU"/>
        </w:rPr>
        <w:t xml:space="preserve"> в качестве терапии первой линии при распространенном раке молочной железы приводила к общей выживаемости с медианой 34 месяца по сравнению с 30 месяцами в случае применения тамоксифена (лог-ранговый критерий, P=0,53, недостоверное различие). Отсутствие преимуществ </w:t>
      </w:r>
      <w:proofErr w:type="spellStart"/>
      <w:r w:rsidRPr="007E6425">
        <w:rPr>
          <w:rFonts w:ascii="Times New Roman" w:eastAsia="Times New Roman" w:hAnsi="Times New Roman" w:cs="Times New Roman"/>
          <w:snapToGrid w:val="0"/>
          <w:sz w:val="24"/>
          <w:szCs w:val="24"/>
          <w:lang w:eastAsia="ru-RU"/>
        </w:rPr>
        <w:t>летрозола</w:t>
      </w:r>
      <w:proofErr w:type="spellEnd"/>
      <w:r w:rsidRPr="007E6425">
        <w:rPr>
          <w:rFonts w:ascii="Times New Roman" w:eastAsia="Times New Roman" w:hAnsi="Times New Roman" w:cs="Times New Roman"/>
          <w:snapToGrid w:val="0"/>
          <w:sz w:val="24"/>
          <w:szCs w:val="24"/>
          <w:lang w:eastAsia="ru-RU"/>
        </w:rPr>
        <w:t xml:space="preserve"> по общей выживаемости можно объяснить перекрестным планом исследования. </w:t>
      </w:r>
    </w:p>
    <w:p w14:paraId="005E0BEA"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i/>
          <w:snapToGrid w:val="0"/>
          <w:sz w:val="24"/>
          <w:szCs w:val="24"/>
          <w:lang w:eastAsia="ru-RU"/>
        </w:rPr>
      </w:pPr>
      <w:r w:rsidRPr="007E6425">
        <w:rPr>
          <w:rFonts w:ascii="Times New Roman" w:eastAsia="Times New Roman" w:hAnsi="Times New Roman" w:cs="Times New Roman"/>
          <w:i/>
          <w:snapToGrid w:val="0"/>
          <w:sz w:val="24"/>
          <w:szCs w:val="24"/>
          <w:lang w:eastAsia="ru-RU"/>
        </w:rPr>
        <w:t xml:space="preserve">Терапия второй линии </w:t>
      </w:r>
    </w:p>
    <w:p w14:paraId="32FBC1FC"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Проведены два хорошо контролируемых клинических испытания для сравнения двух доз </w:t>
      </w:r>
      <w:proofErr w:type="spellStart"/>
      <w:r w:rsidRPr="007E6425">
        <w:rPr>
          <w:rFonts w:ascii="Times New Roman" w:eastAsia="Times New Roman" w:hAnsi="Times New Roman" w:cs="Times New Roman"/>
          <w:snapToGrid w:val="0"/>
          <w:sz w:val="24"/>
          <w:szCs w:val="24"/>
          <w:lang w:eastAsia="ru-RU"/>
        </w:rPr>
        <w:t>летрозола</w:t>
      </w:r>
      <w:proofErr w:type="spellEnd"/>
      <w:r w:rsidRPr="007E6425">
        <w:rPr>
          <w:rFonts w:ascii="Times New Roman" w:eastAsia="Times New Roman" w:hAnsi="Times New Roman" w:cs="Times New Roman"/>
          <w:snapToGrid w:val="0"/>
          <w:sz w:val="24"/>
          <w:szCs w:val="24"/>
          <w:lang w:eastAsia="ru-RU"/>
        </w:rPr>
        <w:t xml:space="preserve"> (0,5 мг и 2,5 мг) с </w:t>
      </w:r>
      <w:proofErr w:type="spellStart"/>
      <w:r w:rsidRPr="007E6425">
        <w:rPr>
          <w:rFonts w:ascii="Times New Roman" w:eastAsia="Times New Roman" w:hAnsi="Times New Roman" w:cs="Times New Roman"/>
          <w:snapToGrid w:val="0"/>
          <w:sz w:val="24"/>
          <w:szCs w:val="24"/>
          <w:lang w:eastAsia="ru-RU"/>
        </w:rPr>
        <w:t>мегестрола</w:t>
      </w:r>
      <w:proofErr w:type="spellEnd"/>
      <w:r w:rsidRPr="007E6425">
        <w:rPr>
          <w:rFonts w:ascii="Times New Roman" w:eastAsia="Times New Roman" w:hAnsi="Times New Roman" w:cs="Times New Roman"/>
          <w:snapToGrid w:val="0"/>
          <w:sz w:val="24"/>
          <w:szCs w:val="24"/>
          <w:lang w:eastAsia="ru-RU"/>
        </w:rPr>
        <w:t xml:space="preserve"> ацетатом и </w:t>
      </w:r>
      <w:proofErr w:type="spellStart"/>
      <w:r w:rsidRPr="007E6425">
        <w:rPr>
          <w:rFonts w:ascii="Times New Roman" w:eastAsia="Times New Roman" w:hAnsi="Times New Roman" w:cs="Times New Roman"/>
          <w:snapToGrid w:val="0"/>
          <w:sz w:val="24"/>
          <w:szCs w:val="24"/>
          <w:lang w:eastAsia="ru-RU"/>
        </w:rPr>
        <w:t>аминоглутетимидом</w:t>
      </w:r>
      <w:proofErr w:type="spellEnd"/>
      <w:r w:rsidRPr="007E6425">
        <w:rPr>
          <w:rFonts w:ascii="Times New Roman" w:eastAsia="Times New Roman" w:hAnsi="Times New Roman" w:cs="Times New Roman"/>
          <w:snapToGrid w:val="0"/>
          <w:sz w:val="24"/>
          <w:szCs w:val="24"/>
          <w:lang w:eastAsia="ru-RU"/>
        </w:rPr>
        <w:t xml:space="preserve"> у женщин в постменопаузе с распространенным раком молочной железы, предварительно получающих </w:t>
      </w:r>
      <w:proofErr w:type="spellStart"/>
      <w:r w:rsidRPr="007E6425">
        <w:rPr>
          <w:rFonts w:ascii="Times New Roman" w:eastAsia="Times New Roman" w:hAnsi="Times New Roman" w:cs="Times New Roman"/>
          <w:snapToGrid w:val="0"/>
          <w:sz w:val="24"/>
          <w:szCs w:val="24"/>
          <w:lang w:eastAsia="ru-RU"/>
        </w:rPr>
        <w:t>антиэстрогенные</w:t>
      </w:r>
      <w:proofErr w:type="spellEnd"/>
      <w:r w:rsidRPr="007E6425">
        <w:rPr>
          <w:rFonts w:ascii="Times New Roman" w:eastAsia="Times New Roman" w:hAnsi="Times New Roman" w:cs="Times New Roman"/>
          <w:snapToGrid w:val="0"/>
          <w:sz w:val="24"/>
          <w:szCs w:val="24"/>
          <w:lang w:eastAsia="ru-RU"/>
        </w:rPr>
        <w:t xml:space="preserve"> препараты. </w:t>
      </w:r>
    </w:p>
    <w:p w14:paraId="7F4DC04E"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Время до прогрессирования существенно не различалось в группах </w:t>
      </w:r>
      <w:proofErr w:type="spellStart"/>
      <w:r w:rsidRPr="007E6425">
        <w:rPr>
          <w:rFonts w:ascii="Times New Roman" w:eastAsia="Times New Roman" w:hAnsi="Times New Roman" w:cs="Times New Roman"/>
          <w:snapToGrid w:val="0"/>
          <w:sz w:val="24"/>
          <w:szCs w:val="24"/>
          <w:lang w:eastAsia="ru-RU"/>
        </w:rPr>
        <w:t>летрозола</w:t>
      </w:r>
      <w:proofErr w:type="spellEnd"/>
      <w:r w:rsidRPr="007E6425">
        <w:rPr>
          <w:rFonts w:ascii="Times New Roman" w:eastAsia="Times New Roman" w:hAnsi="Times New Roman" w:cs="Times New Roman"/>
          <w:snapToGrid w:val="0"/>
          <w:sz w:val="24"/>
          <w:szCs w:val="24"/>
          <w:lang w:eastAsia="ru-RU"/>
        </w:rPr>
        <w:t xml:space="preserve"> 2,5 мг и </w:t>
      </w:r>
      <w:proofErr w:type="spellStart"/>
      <w:r w:rsidRPr="007E6425">
        <w:rPr>
          <w:rFonts w:ascii="Times New Roman" w:eastAsia="Times New Roman" w:hAnsi="Times New Roman" w:cs="Times New Roman"/>
          <w:snapToGrid w:val="0"/>
          <w:sz w:val="24"/>
          <w:szCs w:val="24"/>
          <w:lang w:eastAsia="ru-RU"/>
        </w:rPr>
        <w:t>мегестрола</w:t>
      </w:r>
      <w:proofErr w:type="spellEnd"/>
      <w:r w:rsidRPr="007E6425">
        <w:rPr>
          <w:rFonts w:ascii="Times New Roman" w:eastAsia="Times New Roman" w:hAnsi="Times New Roman" w:cs="Times New Roman"/>
          <w:snapToGrid w:val="0"/>
          <w:sz w:val="24"/>
          <w:szCs w:val="24"/>
          <w:lang w:eastAsia="ru-RU"/>
        </w:rPr>
        <w:t xml:space="preserve"> ацетата (P=0,07). Были обнаружены статистически достоверные различия, свидетельствующие о преимуществах </w:t>
      </w:r>
      <w:proofErr w:type="spellStart"/>
      <w:r w:rsidRPr="007E6425">
        <w:rPr>
          <w:rFonts w:ascii="Times New Roman" w:eastAsia="Times New Roman" w:hAnsi="Times New Roman" w:cs="Times New Roman"/>
          <w:snapToGrid w:val="0"/>
          <w:sz w:val="24"/>
          <w:szCs w:val="24"/>
          <w:lang w:eastAsia="ru-RU"/>
        </w:rPr>
        <w:t>летрозола</w:t>
      </w:r>
      <w:proofErr w:type="spellEnd"/>
      <w:r w:rsidRPr="007E6425">
        <w:rPr>
          <w:rFonts w:ascii="Times New Roman" w:eastAsia="Times New Roman" w:hAnsi="Times New Roman" w:cs="Times New Roman"/>
          <w:snapToGrid w:val="0"/>
          <w:sz w:val="24"/>
          <w:szCs w:val="24"/>
          <w:lang w:eastAsia="ru-RU"/>
        </w:rPr>
        <w:t xml:space="preserve"> 2,5 мг, по сравнению с </w:t>
      </w:r>
      <w:proofErr w:type="spellStart"/>
      <w:r w:rsidRPr="007E6425">
        <w:rPr>
          <w:rFonts w:ascii="Times New Roman" w:eastAsia="Times New Roman" w:hAnsi="Times New Roman" w:cs="Times New Roman"/>
          <w:snapToGrid w:val="0"/>
          <w:sz w:val="24"/>
          <w:szCs w:val="24"/>
          <w:lang w:eastAsia="ru-RU"/>
        </w:rPr>
        <w:t>мегестрола</w:t>
      </w:r>
      <w:proofErr w:type="spellEnd"/>
      <w:r w:rsidRPr="007E6425">
        <w:rPr>
          <w:rFonts w:ascii="Times New Roman" w:eastAsia="Times New Roman" w:hAnsi="Times New Roman" w:cs="Times New Roman"/>
          <w:snapToGrid w:val="0"/>
          <w:sz w:val="24"/>
          <w:szCs w:val="24"/>
          <w:lang w:eastAsia="ru-RU"/>
        </w:rPr>
        <w:t xml:space="preserve"> ацетатом, по общему объективному показателю ответа опухоли (24% по сравнению 16%, P=0,04), а также по времени до констатации отсутствия эффекта (P=0,04).  Общая выживаемость в группах существенно не различалась (P=0.2).  </w:t>
      </w:r>
    </w:p>
    <w:p w14:paraId="64D75DCE"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Во втором исследовании частота ответа на </w:t>
      </w:r>
      <w:proofErr w:type="spellStart"/>
      <w:r w:rsidRPr="007E6425">
        <w:rPr>
          <w:rFonts w:ascii="Times New Roman" w:eastAsia="Times New Roman" w:hAnsi="Times New Roman" w:cs="Times New Roman"/>
          <w:snapToGrid w:val="0"/>
          <w:sz w:val="24"/>
          <w:szCs w:val="24"/>
          <w:lang w:eastAsia="ru-RU"/>
        </w:rPr>
        <w:t>летрозол</w:t>
      </w:r>
      <w:proofErr w:type="spellEnd"/>
      <w:r w:rsidRPr="007E6425">
        <w:rPr>
          <w:rFonts w:ascii="Times New Roman" w:eastAsia="Times New Roman" w:hAnsi="Times New Roman" w:cs="Times New Roman"/>
          <w:snapToGrid w:val="0"/>
          <w:sz w:val="24"/>
          <w:szCs w:val="24"/>
          <w:lang w:eastAsia="ru-RU"/>
        </w:rPr>
        <w:t xml:space="preserve"> 2,5 мг и </w:t>
      </w:r>
      <w:proofErr w:type="spellStart"/>
      <w:r w:rsidRPr="007E6425">
        <w:rPr>
          <w:rFonts w:ascii="Times New Roman" w:eastAsia="Times New Roman" w:hAnsi="Times New Roman" w:cs="Times New Roman"/>
          <w:snapToGrid w:val="0"/>
          <w:sz w:val="24"/>
          <w:szCs w:val="24"/>
          <w:lang w:eastAsia="ru-RU"/>
        </w:rPr>
        <w:t>аминоглютетимид</w:t>
      </w:r>
      <w:proofErr w:type="spellEnd"/>
      <w:r w:rsidRPr="007E6425">
        <w:rPr>
          <w:rFonts w:ascii="Times New Roman" w:eastAsia="Times New Roman" w:hAnsi="Times New Roman" w:cs="Times New Roman"/>
          <w:snapToGrid w:val="0"/>
          <w:sz w:val="24"/>
          <w:szCs w:val="24"/>
          <w:lang w:eastAsia="ru-RU"/>
        </w:rPr>
        <w:t xml:space="preserve"> существенно не различалась (P=0,06). </w:t>
      </w:r>
      <w:proofErr w:type="spellStart"/>
      <w:r w:rsidRPr="007E6425">
        <w:rPr>
          <w:rFonts w:ascii="Times New Roman" w:eastAsia="Times New Roman" w:hAnsi="Times New Roman" w:cs="Times New Roman"/>
          <w:snapToGrid w:val="0"/>
          <w:sz w:val="24"/>
          <w:szCs w:val="24"/>
          <w:lang w:eastAsia="ru-RU"/>
        </w:rPr>
        <w:t>Летрозол</w:t>
      </w:r>
      <w:proofErr w:type="spellEnd"/>
      <w:r w:rsidRPr="007E6425">
        <w:rPr>
          <w:rFonts w:ascii="Times New Roman" w:eastAsia="Times New Roman" w:hAnsi="Times New Roman" w:cs="Times New Roman"/>
          <w:snapToGrid w:val="0"/>
          <w:sz w:val="24"/>
          <w:szCs w:val="24"/>
          <w:lang w:eastAsia="ru-RU"/>
        </w:rPr>
        <w:t xml:space="preserve"> в дозе 2,5 мг существенно превосходил </w:t>
      </w:r>
      <w:proofErr w:type="spellStart"/>
      <w:r w:rsidRPr="007E6425">
        <w:rPr>
          <w:rFonts w:ascii="Times New Roman" w:eastAsia="Times New Roman" w:hAnsi="Times New Roman" w:cs="Times New Roman"/>
          <w:snapToGrid w:val="0"/>
          <w:sz w:val="24"/>
          <w:szCs w:val="24"/>
          <w:lang w:eastAsia="ru-RU"/>
        </w:rPr>
        <w:t>аминоглютетимид</w:t>
      </w:r>
      <w:proofErr w:type="spellEnd"/>
      <w:r w:rsidRPr="007E6425">
        <w:rPr>
          <w:rFonts w:ascii="Times New Roman" w:eastAsia="Times New Roman" w:hAnsi="Times New Roman" w:cs="Times New Roman"/>
          <w:snapToGrid w:val="0"/>
          <w:sz w:val="24"/>
          <w:szCs w:val="24"/>
          <w:lang w:eastAsia="ru-RU"/>
        </w:rPr>
        <w:t xml:space="preserve"> по времени до прогрессирования (P=0,008), времени до констатации отсутствия эффекта (P=0,003) и общей выживаемости (P=0,002). </w:t>
      </w:r>
    </w:p>
    <w:p w14:paraId="35369036"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i/>
          <w:snapToGrid w:val="0"/>
          <w:sz w:val="24"/>
          <w:szCs w:val="24"/>
          <w:lang w:eastAsia="ru-RU"/>
        </w:rPr>
      </w:pPr>
      <w:r w:rsidRPr="007E6425">
        <w:rPr>
          <w:rFonts w:ascii="Times New Roman" w:eastAsia="Times New Roman" w:hAnsi="Times New Roman" w:cs="Times New Roman"/>
          <w:i/>
          <w:snapToGrid w:val="0"/>
          <w:sz w:val="24"/>
          <w:szCs w:val="24"/>
          <w:lang w:eastAsia="ru-RU"/>
        </w:rPr>
        <w:t>Рак молочной железы у мужчин</w:t>
      </w:r>
    </w:p>
    <w:p w14:paraId="0947426F"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Применение</w:t>
      </w:r>
      <w:r w:rsidRPr="007E6425">
        <w:rPr>
          <w:rFonts w:ascii="Times New Roman" w:eastAsia="Times New Roman" w:hAnsi="Times New Roman" w:cs="Times New Roman"/>
          <w:bCs/>
          <w:iCs/>
          <w:snapToGrid w:val="0"/>
          <w:sz w:val="24"/>
          <w:szCs w:val="24"/>
          <w:lang w:eastAsia="ru-RU"/>
        </w:rPr>
        <w:t xml:space="preserve"> </w:t>
      </w:r>
      <w:proofErr w:type="spellStart"/>
      <w:r w:rsidRPr="007E6425">
        <w:rPr>
          <w:rFonts w:ascii="Times New Roman" w:eastAsia="Times New Roman" w:hAnsi="Times New Roman" w:cs="Times New Roman"/>
          <w:snapToGrid w:val="0"/>
          <w:sz w:val="24"/>
          <w:szCs w:val="24"/>
          <w:lang w:eastAsia="ru-RU"/>
        </w:rPr>
        <w:t>летрозола</w:t>
      </w:r>
      <w:proofErr w:type="spellEnd"/>
      <w:r w:rsidRPr="007E6425">
        <w:rPr>
          <w:rFonts w:ascii="Times New Roman" w:eastAsia="Times New Roman" w:hAnsi="Times New Roman" w:cs="Times New Roman"/>
          <w:snapToGrid w:val="0"/>
          <w:sz w:val="24"/>
          <w:szCs w:val="24"/>
          <w:lang w:eastAsia="ru-RU"/>
        </w:rPr>
        <w:t xml:space="preserve"> у мужчин с раком молочной железы не изучалось.</w:t>
      </w:r>
    </w:p>
    <w:p w14:paraId="0DCC557F" w14:textId="77777777" w:rsidR="007E6425" w:rsidRPr="007E6425" w:rsidRDefault="007E6425" w:rsidP="00F602A1">
      <w:pPr>
        <w:autoSpaceDE w:val="0"/>
        <w:autoSpaceDN w:val="0"/>
        <w:adjustRightInd w:val="0"/>
        <w:spacing w:after="0" w:line="240" w:lineRule="auto"/>
        <w:ind w:right="283"/>
        <w:rPr>
          <w:rFonts w:ascii="Times New Roman" w:eastAsia="Times New Roman" w:hAnsi="Times New Roman" w:cs="Times New Roman"/>
          <w:b/>
          <w:snapToGrid w:val="0"/>
          <w:sz w:val="24"/>
          <w:szCs w:val="24"/>
          <w:lang w:eastAsia="ru-RU"/>
        </w:rPr>
      </w:pPr>
    </w:p>
    <w:p w14:paraId="72F8B350" w14:textId="77777777" w:rsidR="007E6425" w:rsidRPr="007E6425" w:rsidRDefault="007E6425" w:rsidP="00F602A1">
      <w:pPr>
        <w:spacing w:after="0" w:line="240" w:lineRule="auto"/>
        <w:ind w:right="283"/>
        <w:jc w:val="both"/>
        <w:rPr>
          <w:rFonts w:ascii="Times New Roman" w:eastAsia="Times New Roman" w:hAnsi="Times New Roman" w:cs="Times New Roman"/>
          <w:b/>
          <w:iCs/>
          <w:snapToGrid w:val="0"/>
          <w:sz w:val="24"/>
          <w:szCs w:val="24"/>
          <w:lang w:eastAsia="ru-RU"/>
        </w:rPr>
      </w:pPr>
      <w:r w:rsidRPr="007E6425">
        <w:rPr>
          <w:rFonts w:ascii="Times New Roman" w:eastAsia="Times New Roman" w:hAnsi="Times New Roman" w:cs="Times New Roman"/>
          <w:b/>
          <w:iCs/>
          <w:snapToGrid w:val="0"/>
          <w:sz w:val="24"/>
          <w:szCs w:val="24"/>
          <w:lang w:eastAsia="ru-RU"/>
        </w:rPr>
        <w:t>5.2 Фармакокинетические свойства</w:t>
      </w:r>
    </w:p>
    <w:p w14:paraId="4A03FD85" w14:textId="77777777" w:rsidR="007E6425" w:rsidRPr="007E6425" w:rsidRDefault="007E6425" w:rsidP="00F602A1">
      <w:pPr>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i/>
          <w:snapToGrid w:val="0"/>
          <w:sz w:val="24"/>
          <w:szCs w:val="24"/>
          <w:lang w:eastAsia="ru-RU"/>
        </w:rPr>
        <w:t>Абсорбция</w:t>
      </w:r>
    </w:p>
    <w:p w14:paraId="1621C218" w14:textId="1EFDFE0A" w:rsidR="007E6425" w:rsidRPr="007E6425" w:rsidRDefault="007E6425" w:rsidP="00F602A1">
      <w:pPr>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После приема внутрь </w:t>
      </w:r>
      <w:proofErr w:type="spellStart"/>
      <w:r w:rsidRPr="007E6425">
        <w:rPr>
          <w:rFonts w:ascii="Times New Roman" w:eastAsia="Times New Roman" w:hAnsi="Times New Roman" w:cs="Times New Roman"/>
          <w:snapToGrid w:val="0"/>
          <w:sz w:val="24"/>
          <w:szCs w:val="24"/>
          <w:lang w:eastAsia="ru-RU"/>
        </w:rPr>
        <w:t>летрозол</w:t>
      </w:r>
      <w:proofErr w:type="spellEnd"/>
      <w:r w:rsidRPr="007E6425">
        <w:rPr>
          <w:rFonts w:ascii="Times New Roman" w:eastAsia="Times New Roman" w:hAnsi="Times New Roman" w:cs="Times New Roman"/>
          <w:snapToGrid w:val="0"/>
          <w:sz w:val="24"/>
          <w:szCs w:val="24"/>
          <w:lang w:eastAsia="ru-RU"/>
        </w:rPr>
        <w:t xml:space="preserve"> быстро и полностью абсорбируется из желудочно-кишечного тракта.  Биодоступность составляет 99,9%. Пища незначительно снижает скорость всасывания. Время достижения максимальной концентрации </w:t>
      </w:r>
      <w:proofErr w:type="spellStart"/>
      <w:r w:rsidRPr="007E6425">
        <w:rPr>
          <w:rFonts w:ascii="Times New Roman" w:eastAsia="Times New Roman" w:hAnsi="Times New Roman" w:cs="Times New Roman"/>
          <w:snapToGrid w:val="0"/>
          <w:sz w:val="24"/>
          <w:szCs w:val="24"/>
          <w:lang w:eastAsia="ru-RU"/>
        </w:rPr>
        <w:t>летрозола</w:t>
      </w:r>
      <w:proofErr w:type="spellEnd"/>
      <w:r w:rsidRPr="007E6425">
        <w:rPr>
          <w:rFonts w:ascii="Times New Roman" w:eastAsia="Times New Roman" w:hAnsi="Times New Roman" w:cs="Times New Roman"/>
          <w:snapToGrid w:val="0"/>
          <w:sz w:val="24"/>
          <w:szCs w:val="24"/>
          <w:lang w:eastAsia="ru-RU"/>
        </w:rPr>
        <w:t xml:space="preserve"> в крови (</w:t>
      </w:r>
      <w:proofErr w:type="spellStart"/>
      <w:r w:rsidRPr="007E6425">
        <w:rPr>
          <w:rFonts w:ascii="Times New Roman" w:eastAsia="Times New Roman" w:hAnsi="Times New Roman" w:cs="Times New Roman"/>
          <w:snapToGrid w:val="0"/>
          <w:sz w:val="24"/>
          <w:szCs w:val="24"/>
          <w:lang w:eastAsia="ru-RU"/>
        </w:rPr>
        <w:t>T</w:t>
      </w:r>
      <w:r w:rsidRPr="007E6425">
        <w:rPr>
          <w:rFonts w:ascii="Times New Roman" w:eastAsia="Times New Roman" w:hAnsi="Times New Roman" w:cs="Times New Roman"/>
          <w:snapToGrid w:val="0"/>
          <w:sz w:val="24"/>
          <w:szCs w:val="24"/>
          <w:vertAlign w:val="subscript"/>
          <w:lang w:eastAsia="ru-RU"/>
        </w:rPr>
        <w:t>max</w:t>
      </w:r>
      <w:proofErr w:type="spellEnd"/>
      <w:r w:rsidRPr="007E6425">
        <w:rPr>
          <w:rFonts w:ascii="Times New Roman" w:eastAsia="Times New Roman" w:hAnsi="Times New Roman" w:cs="Times New Roman"/>
          <w:snapToGrid w:val="0"/>
          <w:sz w:val="24"/>
          <w:szCs w:val="24"/>
          <w:lang w:eastAsia="ru-RU"/>
        </w:rPr>
        <w:t xml:space="preserve">) составляет 1 ч при приеме </w:t>
      </w:r>
      <w:proofErr w:type="spellStart"/>
      <w:r w:rsidR="001F083E">
        <w:rPr>
          <w:rFonts w:ascii="Times New Roman" w:eastAsia="Times New Roman" w:hAnsi="Times New Roman" w:cs="Times New Roman"/>
          <w:snapToGrid w:val="0"/>
          <w:sz w:val="24"/>
          <w:szCs w:val="24"/>
          <w:lang w:eastAsia="ru-RU"/>
        </w:rPr>
        <w:t>летрозола</w:t>
      </w:r>
      <w:proofErr w:type="spellEnd"/>
      <w:r w:rsidRPr="007E6425">
        <w:rPr>
          <w:rFonts w:ascii="Times New Roman" w:eastAsia="Times New Roman" w:hAnsi="Times New Roman" w:cs="Times New Roman"/>
          <w:snapToGrid w:val="0"/>
          <w:sz w:val="24"/>
          <w:szCs w:val="24"/>
          <w:lang w:eastAsia="ru-RU"/>
        </w:rPr>
        <w:t xml:space="preserve"> натощак и 2 ч - при приеме с пищей. Среднее значение максимальной концентрации </w:t>
      </w:r>
      <w:proofErr w:type="spellStart"/>
      <w:r w:rsidRPr="007E6425">
        <w:rPr>
          <w:rFonts w:ascii="Times New Roman" w:eastAsia="Times New Roman" w:hAnsi="Times New Roman" w:cs="Times New Roman"/>
          <w:snapToGrid w:val="0"/>
          <w:sz w:val="24"/>
          <w:szCs w:val="24"/>
          <w:lang w:eastAsia="ru-RU"/>
        </w:rPr>
        <w:t>летрозола</w:t>
      </w:r>
      <w:proofErr w:type="spellEnd"/>
      <w:r w:rsidRPr="007E6425">
        <w:rPr>
          <w:rFonts w:ascii="Times New Roman" w:eastAsia="Times New Roman" w:hAnsi="Times New Roman" w:cs="Times New Roman"/>
          <w:snapToGrid w:val="0"/>
          <w:sz w:val="24"/>
          <w:szCs w:val="24"/>
          <w:lang w:eastAsia="ru-RU"/>
        </w:rPr>
        <w:t xml:space="preserve"> в крови (</w:t>
      </w:r>
      <w:proofErr w:type="spellStart"/>
      <w:r w:rsidRPr="007E6425">
        <w:rPr>
          <w:rFonts w:ascii="Times New Roman" w:eastAsia="Times New Roman" w:hAnsi="Times New Roman" w:cs="Times New Roman"/>
          <w:snapToGrid w:val="0"/>
          <w:sz w:val="24"/>
          <w:szCs w:val="24"/>
          <w:lang w:eastAsia="ru-RU"/>
        </w:rPr>
        <w:t>C</w:t>
      </w:r>
      <w:r w:rsidRPr="007E6425">
        <w:rPr>
          <w:rFonts w:ascii="Times New Roman" w:eastAsia="Times New Roman" w:hAnsi="Times New Roman" w:cs="Times New Roman"/>
          <w:snapToGrid w:val="0"/>
          <w:sz w:val="24"/>
          <w:szCs w:val="24"/>
          <w:vertAlign w:val="subscript"/>
          <w:lang w:eastAsia="ru-RU"/>
        </w:rPr>
        <w:t>max</w:t>
      </w:r>
      <w:proofErr w:type="spellEnd"/>
      <w:r w:rsidRPr="007E6425">
        <w:rPr>
          <w:rFonts w:ascii="Times New Roman" w:eastAsia="Times New Roman" w:hAnsi="Times New Roman" w:cs="Times New Roman"/>
          <w:snapToGrid w:val="0"/>
          <w:sz w:val="24"/>
          <w:szCs w:val="24"/>
          <w:lang w:eastAsia="ru-RU"/>
        </w:rPr>
        <w:t xml:space="preserve">) составляет 129±20,3 </w:t>
      </w:r>
      <w:proofErr w:type="spellStart"/>
      <w:r w:rsidRPr="007E6425">
        <w:rPr>
          <w:rFonts w:ascii="Times New Roman" w:eastAsia="Times New Roman" w:hAnsi="Times New Roman" w:cs="Times New Roman"/>
          <w:snapToGrid w:val="0"/>
          <w:sz w:val="24"/>
          <w:szCs w:val="24"/>
          <w:lang w:eastAsia="ru-RU"/>
        </w:rPr>
        <w:t>нмоль</w:t>
      </w:r>
      <w:proofErr w:type="spellEnd"/>
      <w:r w:rsidRPr="007E6425">
        <w:rPr>
          <w:rFonts w:ascii="Times New Roman" w:eastAsia="Times New Roman" w:hAnsi="Times New Roman" w:cs="Times New Roman"/>
          <w:snapToGrid w:val="0"/>
          <w:sz w:val="24"/>
          <w:szCs w:val="24"/>
          <w:lang w:eastAsia="ru-RU"/>
        </w:rPr>
        <w:t xml:space="preserve">/л при приеме натощак и 98.7±18.6 </w:t>
      </w:r>
      <w:proofErr w:type="spellStart"/>
      <w:r w:rsidRPr="007E6425">
        <w:rPr>
          <w:rFonts w:ascii="Times New Roman" w:eastAsia="Times New Roman" w:hAnsi="Times New Roman" w:cs="Times New Roman"/>
          <w:snapToGrid w:val="0"/>
          <w:sz w:val="24"/>
          <w:szCs w:val="24"/>
          <w:lang w:eastAsia="ru-RU"/>
        </w:rPr>
        <w:t>нмоль</w:t>
      </w:r>
      <w:proofErr w:type="spellEnd"/>
      <w:r w:rsidRPr="007E6425">
        <w:rPr>
          <w:rFonts w:ascii="Times New Roman" w:eastAsia="Times New Roman" w:hAnsi="Times New Roman" w:cs="Times New Roman"/>
          <w:snapToGrid w:val="0"/>
          <w:sz w:val="24"/>
          <w:szCs w:val="24"/>
          <w:lang w:eastAsia="ru-RU"/>
        </w:rPr>
        <w:t xml:space="preserve">/л - при приеме с пищей, однако степень абсорбции </w:t>
      </w:r>
      <w:proofErr w:type="spellStart"/>
      <w:r w:rsidRPr="007E6425">
        <w:rPr>
          <w:rFonts w:ascii="Times New Roman" w:eastAsia="Times New Roman" w:hAnsi="Times New Roman" w:cs="Times New Roman"/>
          <w:snapToGrid w:val="0"/>
          <w:sz w:val="24"/>
          <w:szCs w:val="24"/>
          <w:lang w:eastAsia="ru-RU"/>
        </w:rPr>
        <w:t>летрозола</w:t>
      </w:r>
      <w:proofErr w:type="spellEnd"/>
      <w:r w:rsidRPr="007E6425">
        <w:rPr>
          <w:rFonts w:ascii="Times New Roman" w:eastAsia="Times New Roman" w:hAnsi="Times New Roman" w:cs="Times New Roman"/>
          <w:snapToGrid w:val="0"/>
          <w:sz w:val="24"/>
          <w:szCs w:val="24"/>
          <w:lang w:eastAsia="ru-RU"/>
        </w:rPr>
        <w:t xml:space="preserve"> (при оценке по AUC) не изменяется, поэтому </w:t>
      </w:r>
      <w:proofErr w:type="spellStart"/>
      <w:r w:rsidRPr="007E6425">
        <w:rPr>
          <w:rFonts w:ascii="Times New Roman" w:eastAsia="Times New Roman" w:hAnsi="Times New Roman" w:cs="Times New Roman"/>
          <w:snapToGrid w:val="0"/>
          <w:sz w:val="24"/>
          <w:szCs w:val="24"/>
          <w:lang w:eastAsia="ru-RU"/>
        </w:rPr>
        <w:t>летрозол</w:t>
      </w:r>
      <w:proofErr w:type="spellEnd"/>
      <w:r w:rsidRPr="007E6425">
        <w:rPr>
          <w:rFonts w:ascii="Times New Roman" w:eastAsia="Times New Roman" w:hAnsi="Times New Roman" w:cs="Times New Roman"/>
          <w:snapToGrid w:val="0"/>
          <w:sz w:val="24"/>
          <w:szCs w:val="24"/>
          <w:lang w:eastAsia="ru-RU"/>
        </w:rPr>
        <w:t xml:space="preserve"> можно принимать независимо от приема пищи. </w:t>
      </w:r>
    </w:p>
    <w:p w14:paraId="281FBFFA" w14:textId="77777777" w:rsidR="007E6425" w:rsidRPr="007E6425" w:rsidRDefault="007E6425" w:rsidP="00F602A1">
      <w:pPr>
        <w:spacing w:after="0" w:line="240" w:lineRule="auto"/>
        <w:ind w:right="283"/>
        <w:jc w:val="both"/>
        <w:rPr>
          <w:rFonts w:ascii="Times New Roman" w:eastAsia="Times New Roman" w:hAnsi="Times New Roman" w:cs="Times New Roman"/>
          <w:i/>
          <w:snapToGrid w:val="0"/>
          <w:sz w:val="24"/>
          <w:szCs w:val="24"/>
          <w:lang w:eastAsia="ru-RU"/>
        </w:rPr>
      </w:pPr>
      <w:r w:rsidRPr="007E6425">
        <w:rPr>
          <w:rFonts w:ascii="Times New Roman" w:eastAsia="Times New Roman" w:hAnsi="Times New Roman" w:cs="Times New Roman"/>
          <w:i/>
          <w:snapToGrid w:val="0"/>
          <w:sz w:val="24"/>
          <w:szCs w:val="24"/>
          <w:lang w:eastAsia="ru-RU"/>
        </w:rPr>
        <w:t>Распределение</w:t>
      </w:r>
    </w:p>
    <w:p w14:paraId="6514A891" w14:textId="41381DC8" w:rsidR="007E6425" w:rsidRPr="007E6425" w:rsidRDefault="007E6425" w:rsidP="00F602A1">
      <w:pPr>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Связывание с белками плазмы крови составляет примерно 60%, преимущественно с альбумином (55%). Концентрация </w:t>
      </w:r>
      <w:proofErr w:type="spellStart"/>
      <w:r w:rsidRPr="007E6425">
        <w:rPr>
          <w:rFonts w:ascii="Times New Roman" w:eastAsia="Times New Roman" w:hAnsi="Times New Roman" w:cs="Times New Roman"/>
          <w:snapToGrid w:val="0"/>
          <w:sz w:val="24"/>
          <w:szCs w:val="24"/>
          <w:lang w:eastAsia="ru-RU"/>
        </w:rPr>
        <w:t>летрозола</w:t>
      </w:r>
      <w:proofErr w:type="spellEnd"/>
      <w:r w:rsidRPr="007E6425">
        <w:rPr>
          <w:rFonts w:ascii="Times New Roman" w:eastAsia="Times New Roman" w:hAnsi="Times New Roman" w:cs="Times New Roman"/>
          <w:snapToGrid w:val="0"/>
          <w:sz w:val="24"/>
          <w:szCs w:val="24"/>
          <w:lang w:eastAsia="ru-RU"/>
        </w:rPr>
        <w:t xml:space="preserve"> в эритроцитах - около 80% от его концентрации в плазме крови. После введения 2,5 мг 14C-меченого </w:t>
      </w:r>
      <w:proofErr w:type="spellStart"/>
      <w:r w:rsidRPr="007E6425">
        <w:rPr>
          <w:rFonts w:ascii="Times New Roman" w:eastAsia="Times New Roman" w:hAnsi="Times New Roman" w:cs="Times New Roman"/>
          <w:snapToGrid w:val="0"/>
          <w:sz w:val="24"/>
          <w:szCs w:val="24"/>
          <w:lang w:eastAsia="ru-RU"/>
        </w:rPr>
        <w:t>летрозола</w:t>
      </w:r>
      <w:proofErr w:type="spellEnd"/>
      <w:r w:rsidRPr="007E6425">
        <w:rPr>
          <w:rFonts w:ascii="Times New Roman" w:eastAsia="Times New Roman" w:hAnsi="Times New Roman" w:cs="Times New Roman"/>
          <w:snapToGrid w:val="0"/>
          <w:sz w:val="24"/>
          <w:szCs w:val="24"/>
          <w:lang w:eastAsia="ru-RU"/>
        </w:rPr>
        <w:t xml:space="preserve"> примерно 82% радиоактивности присутствует в плазме в виде неизмененного вещества. Системное воздействие метаболитов </w:t>
      </w:r>
      <w:proofErr w:type="spellStart"/>
      <w:r w:rsidRPr="007E6425">
        <w:rPr>
          <w:rFonts w:ascii="Times New Roman" w:eastAsia="Times New Roman" w:hAnsi="Times New Roman" w:cs="Times New Roman"/>
          <w:snapToGrid w:val="0"/>
          <w:sz w:val="24"/>
          <w:szCs w:val="24"/>
          <w:lang w:eastAsia="ru-RU"/>
        </w:rPr>
        <w:t>летрозола</w:t>
      </w:r>
      <w:proofErr w:type="spellEnd"/>
      <w:r w:rsidRPr="007E6425">
        <w:rPr>
          <w:rFonts w:ascii="Times New Roman" w:eastAsia="Times New Roman" w:hAnsi="Times New Roman" w:cs="Times New Roman"/>
          <w:snapToGrid w:val="0"/>
          <w:sz w:val="24"/>
          <w:szCs w:val="24"/>
          <w:lang w:eastAsia="ru-RU"/>
        </w:rPr>
        <w:t xml:space="preserve"> невелико. </w:t>
      </w:r>
      <w:proofErr w:type="spellStart"/>
      <w:r w:rsidRPr="007E6425">
        <w:rPr>
          <w:rFonts w:ascii="Times New Roman" w:eastAsia="Times New Roman" w:hAnsi="Times New Roman" w:cs="Times New Roman"/>
          <w:snapToGrid w:val="0"/>
          <w:sz w:val="24"/>
          <w:szCs w:val="24"/>
          <w:lang w:eastAsia="ru-RU"/>
        </w:rPr>
        <w:t>Летрозол</w:t>
      </w:r>
      <w:proofErr w:type="spellEnd"/>
      <w:r w:rsidRPr="007E6425">
        <w:rPr>
          <w:rFonts w:ascii="Times New Roman" w:eastAsia="Times New Roman" w:hAnsi="Times New Roman" w:cs="Times New Roman"/>
          <w:snapToGrid w:val="0"/>
          <w:sz w:val="24"/>
          <w:szCs w:val="24"/>
          <w:lang w:eastAsia="ru-RU"/>
        </w:rPr>
        <w:t xml:space="preserve"> быстро и широко распределяется в тканях. Кажущийся объем распределения в период равновесного состояния 1,87± </w:t>
      </w:r>
      <w:r w:rsidR="001F083E">
        <w:rPr>
          <w:rFonts w:ascii="Times New Roman" w:eastAsia="Times New Roman" w:hAnsi="Times New Roman" w:cs="Times New Roman"/>
          <w:snapToGrid w:val="0"/>
          <w:sz w:val="24"/>
          <w:szCs w:val="24"/>
          <w:lang w:eastAsia="ru-RU"/>
        </w:rPr>
        <w:t xml:space="preserve">      </w:t>
      </w:r>
      <w:r w:rsidRPr="007E6425">
        <w:rPr>
          <w:rFonts w:ascii="Times New Roman" w:eastAsia="Times New Roman" w:hAnsi="Times New Roman" w:cs="Times New Roman"/>
          <w:snapToGrid w:val="0"/>
          <w:sz w:val="24"/>
          <w:szCs w:val="24"/>
          <w:lang w:eastAsia="ru-RU"/>
        </w:rPr>
        <w:t xml:space="preserve">0,47 л/кг веса тела. </w:t>
      </w:r>
    </w:p>
    <w:p w14:paraId="6493BF34" w14:textId="77777777" w:rsidR="007E6425" w:rsidRPr="007E6425" w:rsidRDefault="007E6425" w:rsidP="00F602A1">
      <w:pPr>
        <w:spacing w:after="0" w:line="240" w:lineRule="auto"/>
        <w:ind w:right="283"/>
        <w:jc w:val="both"/>
        <w:rPr>
          <w:rFonts w:ascii="Times New Roman" w:eastAsia="Times New Roman" w:hAnsi="Times New Roman" w:cs="Times New Roman"/>
          <w:snapToGrid w:val="0"/>
          <w:sz w:val="24"/>
          <w:szCs w:val="24"/>
          <w:lang w:eastAsia="ru-RU"/>
        </w:rPr>
      </w:pPr>
      <w:proofErr w:type="spellStart"/>
      <w:r w:rsidRPr="007E6425">
        <w:rPr>
          <w:rFonts w:ascii="Times New Roman" w:eastAsia="Times New Roman" w:hAnsi="Times New Roman" w:cs="Times New Roman"/>
          <w:i/>
          <w:snapToGrid w:val="0"/>
          <w:sz w:val="24"/>
          <w:szCs w:val="24"/>
          <w:lang w:eastAsia="ru-RU"/>
        </w:rPr>
        <w:t>Биотрансформация</w:t>
      </w:r>
      <w:proofErr w:type="spellEnd"/>
    </w:p>
    <w:p w14:paraId="131B29C0" w14:textId="77777777" w:rsidR="007E6425" w:rsidRPr="007E6425" w:rsidRDefault="007E6425" w:rsidP="00F602A1">
      <w:pPr>
        <w:spacing w:after="0" w:line="240" w:lineRule="auto"/>
        <w:ind w:right="283"/>
        <w:jc w:val="both"/>
        <w:rPr>
          <w:rFonts w:ascii="Times New Roman" w:eastAsia="Times New Roman" w:hAnsi="Times New Roman" w:cs="Times New Roman"/>
          <w:snapToGrid w:val="0"/>
          <w:sz w:val="24"/>
          <w:szCs w:val="24"/>
          <w:lang w:eastAsia="ru-RU"/>
        </w:rPr>
      </w:pPr>
      <w:proofErr w:type="spellStart"/>
      <w:r w:rsidRPr="007E6425">
        <w:rPr>
          <w:rFonts w:ascii="Times New Roman" w:eastAsia="Times New Roman" w:hAnsi="Times New Roman" w:cs="Times New Roman"/>
          <w:snapToGrid w:val="0"/>
          <w:sz w:val="24"/>
          <w:szCs w:val="24"/>
          <w:lang w:eastAsia="ru-RU"/>
        </w:rPr>
        <w:t>Летрозол</w:t>
      </w:r>
      <w:proofErr w:type="spellEnd"/>
      <w:r w:rsidRPr="007E6425">
        <w:rPr>
          <w:rFonts w:ascii="Times New Roman" w:eastAsia="Times New Roman" w:hAnsi="Times New Roman" w:cs="Times New Roman"/>
          <w:snapToGrid w:val="0"/>
          <w:sz w:val="24"/>
          <w:szCs w:val="24"/>
          <w:lang w:eastAsia="ru-RU"/>
        </w:rPr>
        <w:t xml:space="preserve"> в значительной степени подвергается метаболизму с образованием фармакологически неактивного </w:t>
      </w:r>
      <w:proofErr w:type="spellStart"/>
      <w:r w:rsidRPr="007E6425">
        <w:rPr>
          <w:rFonts w:ascii="Times New Roman" w:eastAsia="Times New Roman" w:hAnsi="Times New Roman" w:cs="Times New Roman"/>
          <w:snapToGrid w:val="0"/>
          <w:sz w:val="24"/>
          <w:szCs w:val="24"/>
          <w:lang w:eastAsia="ru-RU"/>
        </w:rPr>
        <w:t>карбинолового</w:t>
      </w:r>
      <w:proofErr w:type="spellEnd"/>
      <w:r w:rsidRPr="007E6425">
        <w:rPr>
          <w:rFonts w:ascii="Times New Roman" w:eastAsia="Times New Roman" w:hAnsi="Times New Roman" w:cs="Times New Roman"/>
          <w:snapToGrid w:val="0"/>
          <w:sz w:val="24"/>
          <w:szCs w:val="24"/>
          <w:lang w:eastAsia="ru-RU"/>
        </w:rPr>
        <w:t xml:space="preserve"> соединения (метаболический клиренс </w:t>
      </w:r>
      <w:proofErr w:type="spellStart"/>
      <w:r w:rsidRPr="007E6425">
        <w:rPr>
          <w:rFonts w:ascii="Times New Roman" w:eastAsia="Times New Roman" w:hAnsi="Times New Roman" w:cs="Times New Roman"/>
          <w:snapToGrid w:val="0"/>
          <w:sz w:val="24"/>
          <w:szCs w:val="24"/>
          <w:lang w:eastAsia="ru-RU"/>
        </w:rPr>
        <w:t>CLm</w:t>
      </w:r>
      <w:proofErr w:type="spellEnd"/>
      <w:r w:rsidRPr="007E6425">
        <w:rPr>
          <w:rFonts w:ascii="Times New Roman" w:eastAsia="Times New Roman" w:hAnsi="Times New Roman" w:cs="Times New Roman"/>
          <w:snapToGrid w:val="0"/>
          <w:sz w:val="24"/>
          <w:szCs w:val="24"/>
          <w:lang w:eastAsia="ru-RU"/>
        </w:rPr>
        <w:t xml:space="preserve">=2,1 л/ч). Превращение </w:t>
      </w:r>
      <w:proofErr w:type="spellStart"/>
      <w:r w:rsidRPr="007E6425">
        <w:rPr>
          <w:rFonts w:ascii="Times New Roman" w:eastAsia="Times New Roman" w:hAnsi="Times New Roman" w:cs="Times New Roman"/>
          <w:snapToGrid w:val="0"/>
          <w:sz w:val="24"/>
          <w:szCs w:val="24"/>
          <w:lang w:eastAsia="ru-RU"/>
        </w:rPr>
        <w:t>летрозола</w:t>
      </w:r>
      <w:proofErr w:type="spellEnd"/>
      <w:r w:rsidRPr="007E6425">
        <w:rPr>
          <w:rFonts w:ascii="Times New Roman" w:eastAsia="Times New Roman" w:hAnsi="Times New Roman" w:cs="Times New Roman"/>
          <w:snapToGrid w:val="0"/>
          <w:sz w:val="24"/>
          <w:szCs w:val="24"/>
          <w:lang w:eastAsia="ru-RU"/>
        </w:rPr>
        <w:t xml:space="preserve"> в его метаболит осуществляется под действием изоферментов 3A4 и 2A6 цитохрома P450. Образуется небольшое количество других, пока не идентифицированных метаболитов. </w:t>
      </w:r>
    </w:p>
    <w:p w14:paraId="141D67E5" w14:textId="77777777" w:rsidR="007E6425" w:rsidRPr="007E6425" w:rsidRDefault="007E6425" w:rsidP="00F602A1">
      <w:pPr>
        <w:spacing w:after="0" w:line="240" w:lineRule="auto"/>
        <w:ind w:right="283"/>
        <w:jc w:val="both"/>
        <w:rPr>
          <w:rFonts w:ascii="Times New Roman" w:eastAsia="Times New Roman" w:hAnsi="Times New Roman" w:cs="Times New Roman"/>
          <w:i/>
          <w:snapToGrid w:val="0"/>
          <w:sz w:val="24"/>
          <w:szCs w:val="24"/>
          <w:lang w:eastAsia="ru-RU"/>
        </w:rPr>
      </w:pPr>
      <w:r w:rsidRPr="007E6425">
        <w:rPr>
          <w:rFonts w:ascii="Times New Roman" w:eastAsia="Times New Roman" w:hAnsi="Times New Roman" w:cs="Times New Roman"/>
          <w:i/>
          <w:snapToGrid w:val="0"/>
          <w:sz w:val="24"/>
          <w:szCs w:val="24"/>
          <w:lang w:eastAsia="ru-RU"/>
        </w:rPr>
        <w:t>Элиминация</w:t>
      </w:r>
    </w:p>
    <w:p w14:paraId="4727780F" w14:textId="77777777" w:rsidR="007E6425" w:rsidRPr="007E6425" w:rsidRDefault="007E6425" w:rsidP="00F602A1">
      <w:pPr>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Образование небольшого числа других, пока неидентифицированных метаболитов и экскреция неизмененного препарата с мочой и калом играет незначительную роль в общей элиминации </w:t>
      </w:r>
      <w:proofErr w:type="spellStart"/>
      <w:r w:rsidRPr="007E6425">
        <w:rPr>
          <w:rFonts w:ascii="Times New Roman" w:eastAsia="Times New Roman" w:hAnsi="Times New Roman" w:cs="Times New Roman"/>
          <w:snapToGrid w:val="0"/>
          <w:sz w:val="24"/>
          <w:szCs w:val="24"/>
          <w:lang w:eastAsia="ru-RU"/>
        </w:rPr>
        <w:t>летрозола</w:t>
      </w:r>
      <w:proofErr w:type="spellEnd"/>
      <w:r w:rsidRPr="007E6425">
        <w:rPr>
          <w:rFonts w:ascii="Times New Roman" w:eastAsia="Times New Roman" w:hAnsi="Times New Roman" w:cs="Times New Roman"/>
          <w:snapToGrid w:val="0"/>
          <w:sz w:val="24"/>
          <w:szCs w:val="24"/>
          <w:lang w:eastAsia="ru-RU"/>
        </w:rPr>
        <w:t xml:space="preserve">. В течение 2 недель после введения 2,5 мг </w:t>
      </w:r>
      <w:r w:rsidRPr="007E6425">
        <w:rPr>
          <w:rFonts w:ascii="Times New Roman" w:eastAsia="Times New Roman" w:hAnsi="Times New Roman" w:cs="Times New Roman"/>
          <w:snapToGrid w:val="0"/>
          <w:sz w:val="24"/>
          <w:szCs w:val="24"/>
          <w:vertAlign w:val="superscript"/>
          <w:lang w:eastAsia="ru-RU"/>
        </w:rPr>
        <w:t>14</w:t>
      </w:r>
      <w:r w:rsidRPr="007E6425">
        <w:rPr>
          <w:rFonts w:ascii="Times New Roman" w:eastAsia="Times New Roman" w:hAnsi="Times New Roman" w:cs="Times New Roman"/>
          <w:snapToGrid w:val="0"/>
          <w:sz w:val="24"/>
          <w:szCs w:val="24"/>
          <w:lang w:eastAsia="ru-RU"/>
        </w:rPr>
        <w:t xml:space="preserve">C-меченого </w:t>
      </w:r>
      <w:proofErr w:type="spellStart"/>
      <w:r w:rsidRPr="007E6425">
        <w:rPr>
          <w:rFonts w:ascii="Times New Roman" w:eastAsia="Times New Roman" w:hAnsi="Times New Roman" w:cs="Times New Roman"/>
          <w:snapToGrid w:val="0"/>
          <w:sz w:val="24"/>
          <w:szCs w:val="24"/>
          <w:lang w:eastAsia="ru-RU"/>
        </w:rPr>
        <w:t>летрозола</w:t>
      </w:r>
      <w:proofErr w:type="spellEnd"/>
      <w:r w:rsidRPr="007E6425">
        <w:rPr>
          <w:rFonts w:ascii="Times New Roman" w:eastAsia="Times New Roman" w:hAnsi="Times New Roman" w:cs="Times New Roman"/>
          <w:snapToGrid w:val="0"/>
          <w:sz w:val="24"/>
          <w:szCs w:val="24"/>
          <w:lang w:eastAsia="ru-RU"/>
        </w:rPr>
        <w:t xml:space="preserve"> здоровым женщинам-добровольцам в постменопаузе 88,2 ± 7,6% </w:t>
      </w:r>
      <w:r w:rsidRPr="007E6425">
        <w:rPr>
          <w:rFonts w:ascii="Times New Roman" w:eastAsia="Times New Roman" w:hAnsi="Times New Roman" w:cs="Times New Roman"/>
          <w:snapToGrid w:val="0"/>
          <w:sz w:val="24"/>
          <w:szCs w:val="24"/>
          <w:lang w:eastAsia="ru-RU"/>
        </w:rPr>
        <w:lastRenderedPageBreak/>
        <w:t xml:space="preserve">радиоактивности обнаруживается в моче и 3,8 ± 0,9% в кале. Не менее 75% радиоактивности, обнаруженной в моче в течение 216 часов (84,7 ± 7,8% дозы) приходится на </w:t>
      </w:r>
      <w:proofErr w:type="spellStart"/>
      <w:r w:rsidRPr="007E6425">
        <w:rPr>
          <w:rFonts w:ascii="Times New Roman" w:eastAsia="Times New Roman" w:hAnsi="Times New Roman" w:cs="Times New Roman"/>
          <w:snapToGrid w:val="0"/>
          <w:sz w:val="24"/>
          <w:szCs w:val="24"/>
          <w:lang w:eastAsia="ru-RU"/>
        </w:rPr>
        <w:t>глюкуронид</w:t>
      </w:r>
      <w:proofErr w:type="spellEnd"/>
      <w:r w:rsidRPr="007E6425">
        <w:rPr>
          <w:rFonts w:ascii="Times New Roman" w:eastAsia="Times New Roman" w:hAnsi="Times New Roman" w:cs="Times New Roman"/>
          <w:snapToGrid w:val="0"/>
          <w:sz w:val="24"/>
          <w:szCs w:val="24"/>
          <w:lang w:eastAsia="ru-RU"/>
        </w:rPr>
        <w:t xml:space="preserve"> </w:t>
      </w:r>
      <w:proofErr w:type="spellStart"/>
      <w:r w:rsidRPr="007E6425">
        <w:rPr>
          <w:rFonts w:ascii="Times New Roman" w:eastAsia="Times New Roman" w:hAnsi="Times New Roman" w:cs="Times New Roman"/>
          <w:snapToGrid w:val="0"/>
          <w:sz w:val="24"/>
          <w:szCs w:val="24"/>
          <w:lang w:eastAsia="ru-RU"/>
        </w:rPr>
        <w:t>карбинольного</w:t>
      </w:r>
      <w:proofErr w:type="spellEnd"/>
      <w:r w:rsidRPr="007E6425">
        <w:rPr>
          <w:rFonts w:ascii="Times New Roman" w:eastAsia="Times New Roman" w:hAnsi="Times New Roman" w:cs="Times New Roman"/>
          <w:snapToGrid w:val="0"/>
          <w:sz w:val="24"/>
          <w:szCs w:val="24"/>
          <w:lang w:eastAsia="ru-RU"/>
        </w:rPr>
        <w:t xml:space="preserve"> метаболита, примерно 9% на два неидентифицированных метаболита и 6% на неизмененный </w:t>
      </w:r>
      <w:proofErr w:type="spellStart"/>
      <w:r w:rsidRPr="007E6425">
        <w:rPr>
          <w:rFonts w:ascii="Times New Roman" w:eastAsia="Times New Roman" w:hAnsi="Times New Roman" w:cs="Times New Roman"/>
          <w:snapToGrid w:val="0"/>
          <w:sz w:val="24"/>
          <w:szCs w:val="24"/>
          <w:lang w:eastAsia="ru-RU"/>
        </w:rPr>
        <w:t>летрозол</w:t>
      </w:r>
      <w:proofErr w:type="spellEnd"/>
      <w:r w:rsidRPr="007E6425">
        <w:rPr>
          <w:rFonts w:ascii="Times New Roman" w:eastAsia="Times New Roman" w:hAnsi="Times New Roman" w:cs="Times New Roman"/>
          <w:snapToGrid w:val="0"/>
          <w:sz w:val="24"/>
          <w:szCs w:val="24"/>
          <w:lang w:eastAsia="ru-RU"/>
        </w:rPr>
        <w:t xml:space="preserve">. </w:t>
      </w:r>
    </w:p>
    <w:p w14:paraId="5035B64F" w14:textId="77777777" w:rsidR="007E6425" w:rsidRPr="007E6425" w:rsidRDefault="007E6425" w:rsidP="00F602A1">
      <w:pPr>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Кажущийся конечный период полувыведения из плазмы крови составляет около 2 до 4 суток. После ежедневного приема по 2,5 мг препарата равновесная концентрация </w:t>
      </w:r>
      <w:proofErr w:type="spellStart"/>
      <w:r w:rsidRPr="007E6425">
        <w:rPr>
          <w:rFonts w:ascii="Times New Roman" w:eastAsia="Times New Roman" w:hAnsi="Times New Roman" w:cs="Times New Roman"/>
          <w:snapToGrid w:val="0"/>
          <w:sz w:val="24"/>
          <w:szCs w:val="24"/>
          <w:lang w:eastAsia="ru-RU"/>
        </w:rPr>
        <w:t>летрозола</w:t>
      </w:r>
      <w:proofErr w:type="spellEnd"/>
      <w:r w:rsidRPr="007E6425">
        <w:rPr>
          <w:rFonts w:ascii="Times New Roman" w:eastAsia="Times New Roman" w:hAnsi="Times New Roman" w:cs="Times New Roman"/>
          <w:snapToGrid w:val="0"/>
          <w:sz w:val="24"/>
          <w:szCs w:val="24"/>
          <w:lang w:eastAsia="ru-RU"/>
        </w:rPr>
        <w:t xml:space="preserve"> достигается в течение 2 - 6 недель, при этом она примерно в 7 раз выше, чем после однократного приема той же дозы. В то же время эти концентрации в 1,5-2 раза выше, чем концентрации в равновесном состоянии, вычисленные на основании концентраций после приема однократной дозы. При ежедневном применении </w:t>
      </w:r>
      <w:proofErr w:type="spellStart"/>
      <w:r w:rsidRPr="007E6425">
        <w:rPr>
          <w:rFonts w:ascii="Times New Roman" w:eastAsia="Times New Roman" w:hAnsi="Times New Roman" w:cs="Times New Roman"/>
          <w:snapToGrid w:val="0"/>
          <w:sz w:val="24"/>
          <w:szCs w:val="24"/>
          <w:lang w:eastAsia="ru-RU"/>
        </w:rPr>
        <w:t>летрозола</w:t>
      </w:r>
      <w:proofErr w:type="spellEnd"/>
      <w:r w:rsidRPr="007E6425">
        <w:rPr>
          <w:rFonts w:ascii="Times New Roman" w:eastAsia="Times New Roman" w:hAnsi="Times New Roman" w:cs="Times New Roman"/>
          <w:snapToGrid w:val="0"/>
          <w:sz w:val="24"/>
          <w:szCs w:val="24"/>
          <w:lang w:eastAsia="ru-RU"/>
        </w:rPr>
        <w:t xml:space="preserve"> в дозе 2,5 мг его фармакокинетика имеет нелинейный характер. Поскольку равновесная концентрация </w:t>
      </w:r>
      <w:proofErr w:type="spellStart"/>
      <w:r w:rsidRPr="007E6425">
        <w:rPr>
          <w:rFonts w:ascii="Times New Roman" w:eastAsia="Times New Roman" w:hAnsi="Times New Roman" w:cs="Times New Roman"/>
          <w:snapToGrid w:val="0"/>
          <w:sz w:val="24"/>
          <w:szCs w:val="24"/>
          <w:lang w:eastAsia="ru-RU"/>
        </w:rPr>
        <w:t>летрозола</w:t>
      </w:r>
      <w:proofErr w:type="spellEnd"/>
      <w:r w:rsidRPr="007E6425">
        <w:rPr>
          <w:rFonts w:ascii="Times New Roman" w:eastAsia="Times New Roman" w:hAnsi="Times New Roman" w:cs="Times New Roman"/>
          <w:snapToGrid w:val="0"/>
          <w:sz w:val="24"/>
          <w:szCs w:val="24"/>
          <w:lang w:eastAsia="ru-RU"/>
        </w:rPr>
        <w:t xml:space="preserve"> поддерживается в ходе лечения в течение длительного времени, можно сделать вывод о том, что накопления </w:t>
      </w:r>
      <w:proofErr w:type="spellStart"/>
      <w:r w:rsidRPr="007E6425">
        <w:rPr>
          <w:rFonts w:ascii="Times New Roman" w:eastAsia="Times New Roman" w:hAnsi="Times New Roman" w:cs="Times New Roman"/>
          <w:snapToGrid w:val="0"/>
          <w:sz w:val="24"/>
          <w:szCs w:val="24"/>
          <w:lang w:eastAsia="ru-RU"/>
        </w:rPr>
        <w:t>летрозола</w:t>
      </w:r>
      <w:proofErr w:type="spellEnd"/>
      <w:r w:rsidRPr="007E6425">
        <w:rPr>
          <w:rFonts w:ascii="Times New Roman" w:eastAsia="Times New Roman" w:hAnsi="Times New Roman" w:cs="Times New Roman"/>
          <w:snapToGrid w:val="0"/>
          <w:sz w:val="24"/>
          <w:szCs w:val="24"/>
          <w:lang w:eastAsia="ru-RU"/>
        </w:rPr>
        <w:t xml:space="preserve"> не происходит.</w:t>
      </w:r>
    </w:p>
    <w:p w14:paraId="379FCCE4" w14:textId="77777777" w:rsidR="007E6425" w:rsidRPr="007E6425" w:rsidRDefault="007E6425" w:rsidP="00F602A1">
      <w:pPr>
        <w:spacing w:after="0" w:line="240" w:lineRule="auto"/>
        <w:ind w:right="283"/>
        <w:jc w:val="both"/>
        <w:rPr>
          <w:rFonts w:ascii="Times New Roman" w:eastAsia="Times New Roman" w:hAnsi="Times New Roman" w:cs="Times New Roman"/>
          <w:i/>
          <w:snapToGrid w:val="0"/>
          <w:sz w:val="24"/>
          <w:szCs w:val="24"/>
          <w:lang w:eastAsia="ru-RU"/>
        </w:rPr>
      </w:pPr>
      <w:r w:rsidRPr="007E6425">
        <w:rPr>
          <w:rFonts w:ascii="Times New Roman" w:eastAsia="Times New Roman" w:hAnsi="Times New Roman" w:cs="Times New Roman"/>
          <w:i/>
          <w:snapToGrid w:val="0"/>
          <w:sz w:val="24"/>
          <w:szCs w:val="24"/>
          <w:lang w:eastAsia="ru-RU"/>
        </w:rPr>
        <w:t>Линейность/нелинейность</w:t>
      </w:r>
    </w:p>
    <w:p w14:paraId="088418A7" w14:textId="77777777" w:rsidR="007E6425" w:rsidRPr="007E6425" w:rsidRDefault="007E6425" w:rsidP="00F602A1">
      <w:pPr>
        <w:spacing w:after="0" w:line="240" w:lineRule="auto"/>
        <w:ind w:right="283"/>
        <w:jc w:val="both"/>
        <w:rPr>
          <w:rFonts w:ascii="Times New Roman" w:eastAsia="Times New Roman" w:hAnsi="Times New Roman" w:cs="Times New Roman"/>
          <w:iCs/>
          <w:snapToGrid w:val="0"/>
          <w:sz w:val="24"/>
          <w:szCs w:val="24"/>
          <w:lang w:eastAsia="ru-RU"/>
        </w:rPr>
      </w:pPr>
      <w:r w:rsidRPr="007E6425">
        <w:rPr>
          <w:rFonts w:ascii="Times New Roman" w:eastAsia="Times New Roman" w:hAnsi="Times New Roman" w:cs="Times New Roman"/>
          <w:iCs/>
          <w:snapToGrid w:val="0"/>
          <w:sz w:val="24"/>
          <w:szCs w:val="24"/>
          <w:lang w:eastAsia="ru-RU"/>
        </w:rPr>
        <w:t xml:space="preserve">После однократного приема внутрь доз </w:t>
      </w:r>
      <w:proofErr w:type="spellStart"/>
      <w:r w:rsidRPr="007E6425">
        <w:rPr>
          <w:rFonts w:ascii="Times New Roman" w:eastAsia="Times New Roman" w:hAnsi="Times New Roman" w:cs="Times New Roman"/>
          <w:iCs/>
          <w:snapToGrid w:val="0"/>
          <w:sz w:val="24"/>
          <w:szCs w:val="24"/>
          <w:lang w:eastAsia="ru-RU"/>
        </w:rPr>
        <w:t>летрозола</w:t>
      </w:r>
      <w:proofErr w:type="spellEnd"/>
      <w:r w:rsidRPr="007E6425">
        <w:rPr>
          <w:rFonts w:ascii="Times New Roman" w:eastAsia="Times New Roman" w:hAnsi="Times New Roman" w:cs="Times New Roman"/>
          <w:iCs/>
          <w:snapToGrid w:val="0"/>
          <w:sz w:val="24"/>
          <w:szCs w:val="24"/>
          <w:lang w:eastAsia="ru-RU"/>
        </w:rPr>
        <w:t xml:space="preserve"> до 10 мг (</w:t>
      </w:r>
      <w:proofErr w:type="spellStart"/>
      <w:r w:rsidRPr="007E6425">
        <w:rPr>
          <w:rFonts w:ascii="Times New Roman" w:eastAsia="Times New Roman" w:hAnsi="Times New Roman" w:cs="Times New Roman"/>
          <w:iCs/>
          <w:snapToGrid w:val="0"/>
          <w:sz w:val="24"/>
          <w:szCs w:val="24"/>
          <w:lang w:eastAsia="ru-RU"/>
        </w:rPr>
        <w:t>дозный</w:t>
      </w:r>
      <w:proofErr w:type="spellEnd"/>
      <w:r w:rsidRPr="007E6425">
        <w:rPr>
          <w:rFonts w:ascii="Times New Roman" w:eastAsia="Times New Roman" w:hAnsi="Times New Roman" w:cs="Times New Roman"/>
          <w:iCs/>
          <w:snapToGrid w:val="0"/>
          <w:sz w:val="24"/>
          <w:szCs w:val="24"/>
          <w:lang w:eastAsia="ru-RU"/>
        </w:rPr>
        <w:t xml:space="preserve"> интервал от 0,01 до 30 мг) фармакокинетика </w:t>
      </w:r>
      <w:proofErr w:type="spellStart"/>
      <w:r w:rsidRPr="007E6425">
        <w:rPr>
          <w:rFonts w:ascii="Times New Roman" w:eastAsia="Times New Roman" w:hAnsi="Times New Roman" w:cs="Times New Roman"/>
          <w:iCs/>
          <w:snapToGrid w:val="0"/>
          <w:sz w:val="24"/>
          <w:szCs w:val="24"/>
          <w:lang w:eastAsia="ru-RU"/>
        </w:rPr>
        <w:t>летрозола</w:t>
      </w:r>
      <w:proofErr w:type="spellEnd"/>
      <w:r w:rsidRPr="007E6425">
        <w:rPr>
          <w:rFonts w:ascii="Times New Roman" w:eastAsia="Times New Roman" w:hAnsi="Times New Roman" w:cs="Times New Roman"/>
          <w:iCs/>
          <w:snapToGrid w:val="0"/>
          <w:sz w:val="24"/>
          <w:szCs w:val="24"/>
          <w:lang w:eastAsia="ru-RU"/>
        </w:rPr>
        <w:t xml:space="preserve"> и доз </w:t>
      </w:r>
      <w:proofErr w:type="spellStart"/>
      <w:r w:rsidRPr="007E6425">
        <w:rPr>
          <w:rFonts w:ascii="Times New Roman" w:eastAsia="Times New Roman" w:hAnsi="Times New Roman" w:cs="Times New Roman"/>
          <w:iCs/>
          <w:snapToGrid w:val="0"/>
          <w:sz w:val="24"/>
          <w:szCs w:val="24"/>
          <w:lang w:eastAsia="ru-RU"/>
        </w:rPr>
        <w:t>летрозола</w:t>
      </w:r>
      <w:proofErr w:type="spellEnd"/>
      <w:r w:rsidRPr="007E6425">
        <w:rPr>
          <w:rFonts w:ascii="Times New Roman" w:eastAsia="Times New Roman" w:hAnsi="Times New Roman" w:cs="Times New Roman"/>
          <w:iCs/>
          <w:snapToGrid w:val="0"/>
          <w:sz w:val="24"/>
          <w:szCs w:val="24"/>
          <w:lang w:eastAsia="ru-RU"/>
        </w:rPr>
        <w:t xml:space="preserve"> до 1 мг (</w:t>
      </w:r>
      <w:proofErr w:type="spellStart"/>
      <w:r w:rsidRPr="007E6425">
        <w:rPr>
          <w:rFonts w:ascii="Times New Roman" w:eastAsia="Times New Roman" w:hAnsi="Times New Roman" w:cs="Times New Roman"/>
          <w:iCs/>
          <w:snapToGrid w:val="0"/>
          <w:sz w:val="24"/>
          <w:szCs w:val="24"/>
          <w:lang w:eastAsia="ru-RU"/>
        </w:rPr>
        <w:t>дозный</w:t>
      </w:r>
      <w:proofErr w:type="spellEnd"/>
      <w:r w:rsidRPr="007E6425">
        <w:rPr>
          <w:rFonts w:ascii="Times New Roman" w:eastAsia="Times New Roman" w:hAnsi="Times New Roman" w:cs="Times New Roman"/>
          <w:iCs/>
          <w:snapToGrid w:val="0"/>
          <w:sz w:val="24"/>
          <w:szCs w:val="24"/>
          <w:lang w:eastAsia="ru-RU"/>
        </w:rPr>
        <w:t xml:space="preserve"> интервал от 0,1 до 5 мг). После приема внутрь однократной дозы 30 мг наблюдалась незначительное </w:t>
      </w:r>
      <w:proofErr w:type="spellStart"/>
      <w:r w:rsidRPr="007E6425">
        <w:rPr>
          <w:rFonts w:ascii="Times New Roman" w:eastAsia="Times New Roman" w:hAnsi="Times New Roman" w:cs="Times New Roman"/>
          <w:iCs/>
          <w:snapToGrid w:val="0"/>
          <w:sz w:val="24"/>
          <w:szCs w:val="24"/>
          <w:lang w:eastAsia="ru-RU"/>
        </w:rPr>
        <w:t>непроциональное</w:t>
      </w:r>
      <w:proofErr w:type="spellEnd"/>
      <w:r w:rsidRPr="007E6425">
        <w:rPr>
          <w:rFonts w:ascii="Times New Roman" w:eastAsia="Times New Roman" w:hAnsi="Times New Roman" w:cs="Times New Roman"/>
          <w:iCs/>
          <w:snapToGrid w:val="0"/>
          <w:sz w:val="24"/>
          <w:szCs w:val="24"/>
          <w:lang w:eastAsia="ru-RU"/>
        </w:rPr>
        <w:t xml:space="preserve"> повышение значения AUC. Такая непропорциональность, вероятно, связана с насыщением метаболических процессов, участвующих в элиминации. Во всех исследуемых диапазонах доз (0,1-5,0 мг/</w:t>
      </w:r>
      <w:proofErr w:type="spellStart"/>
      <w:r w:rsidRPr="007E6425">
        <w:rPr>
          <w:rFonts w:ascii="Times New Roman" w:eastAsia="Times New Roman" w:hAnsi="Times New Roman" w:cs="Times New Roman"/>
          <w:iCs/>
          <w:snapToGrid w:val="0"/>
          <w:sz w:val="24"/>
          <w:szCs w:val="24"/>
          <w:lang w:eastAsia="ru-RU"/>
        </w:rPr>
        <w:t>сут</w:t>
      </w:r>
      <w:proofErr w:type="spellEnd"/>
      <w:r w:rsidRPr="007E6425">
        <w:rPr>
          <w:rFonts w:ascii="Times New Roman" w:eastAsia="Times New Roman" w:hAnsi="Times New Roman" w:cs="Times New Roman"/>
          <w:iCs/>
          <w:snapToGrid w:val="0"/>
          <w:sz w:val="24"/>
          <w:szCs w:val="24"/>
          <w:lang w:eastAsia="ru-RU"/>
        </w:rPr>
        <w:t>) равновесные концентрации достигались через 1-2 месяца.</w:t>
      </w:r>
    </w:p>
    <w:p w14:paraId="4EB27FA1" w14:textId="77777777" w:rsidR="007E6425" w:rsidRPr="007E6425" w:rsidRDefault="007E6425" w:rsidP="00F602A1">
      <w:pPr>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i/>
          <w:snapToGrid w:val="0"/>
          <w:sz w:val="24"/>
          <w:szCs w:val="24"/>
          <w:lang w:eastAsia="ru-RU"/>
        </w:rPr>
        <w:t>Фармакокинетика у отдельных групп пациентов</w:t>
      </w:r>
    </w:p>
    <w:p w14:paraId="30D72FD6" w14:textId="77777777" w:rsidR="007E6425" w:rsidRPr="007E6425" w:rsidRDefault="007E6425" w:rsidP="00F602A1">
      <w:pPr>
        <w:spacing w:after="0" w:line="240" w:lineRule="auto"/>
        <w:ind w:right="283"/>
        <w:jc w:val="both"/>
        <w:rPr>
          <w:rFonts w:ascii="Times New Roman" w:eastAsia="Times New Roman" w:hAnsi="Times New Roman" w:cs="Times New Roman"/>
          <w:i/>
          <w:snapToGrid w:val="0"/>
          <w:sz w:val="24"/>
          <w:szCs w:val="24"/>
          <w:u w:val="single"/>
          <w:lang w:eastAsia="ru-RU"/>
        </w:rPr>
      </w:pPr>
      <w:r w:rsidRPr="007E6425">
        <w:rPr>
          <w:rFonts w:ascii="Times New Roman" w:eastAsia="Times New Roman" w:hAnsi="Times New Roman" w:cs="Times New Roman"/>
          <w:i/>
          <w:snapToGrid w:val="0"/>
          <w:sz w:val="24"/>
          <w:szCs w:val="24"/>
          <w:lang w:eastAsia="ru-RU"/>
        </w:rPr>
        <w:t>Пожилые</w:t>
      </w:r>
    </w:p>
    <w:p w14:paraId="4A52F13E" w14:textId="77777777" w:rsidR="007E6425" w:rsidRPr="007E6425" w:rsidRDefault="007E6425" w:rsidP="00F602A1">
      <w:pPr>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Фармакокинетика </w:t>
      </w:r>
      <w:proofErr w:type="spellStart"/>
      <w:r w:rsidRPr="007E6425">
        <w:rPr>
          <w:rFonts w:ascii="Times New Roman" w:eastAsia="Times New Roman" w:hAnsi="Times New Roman" w:cs="Times New Roman"/>
          <w:snapToGrid w:val="0"/>
          <w:sz w:val="24"/>
          <w:szCs w:val="24"/>
          <w:lang w:eastAsia="ru-RU"/>
        </w:rPr>
        <w:t>летрозола</w:t>
      </w:r>
      <w:proofErr w:type="spellEnd"/>
      <w:r w:rsidRPr="007E6425">
        <w:rPr>
          <w:rFonts w:ascii="Times New Roman" w:eastAsia="Times New Roman" w:hAnsi="Times New Roman" w:cs="Times New Roman"/>
          <w:snapToGrid w:val="0"/>
          <w:sz w:val="24"/>
          <w:szCs w:val="24"/>
          <w:lang w:eastAsia="ru-RU"/>
        </w:rPr>
        <w:t xml:space="preserve"> не зависит от возраста пациента.</w:t>
      </w:r>
    </w:p>
    <w:p w14:paraId="6AFDC2D2"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i/>
          <w:snapToGrid w:val="0"/>
          <w:sz w:val="24"/>
          <w:szCs w:val="24"/>
          <w:lang w:eastAsia="ru-RU"/>
        </w:rPr>
      </w:pPr>
      <w:r w:rsidRPr="007E6425">
        <w:rPr>
          <w:rFonts w:ascii="Times New Roman" w:eastAsia="Times New Roman" w:hAnsi="Times New Roman" w:cs="Times New Roman"/>
          <w:i/>
          <w:snapToGrid w:val="0"/>
          <w:sz w:val="24"/>
          <w:szCs w:val="24"/>
          <w:lang w:eastAsia="ru-RU"/>
        </w:rPr>
        <w:t>Нарушение функции почек</w:t>
      </w:r>
    </w:p>
    <w:p w14:paraId="2427D053"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iCs/>
          <w:snapToGrid w:val="0"/>
          <w:sz w:val="24"/>
          <w:szCs w:val="24"/>
          <w:lang w:eastAsia="ru-RU"/>
        </w:rPr>
      </w:pPr>
      <w:r w:rsidRPr="007E6425">
        <w:rPr>
          <w:rFonts w:ascii="Times New Roman" w:eastAsia="Times New Roman" w:hAnsi="Times New Roman" w:cs="Times New Roman"/>
          <w:iCs/>
          <w:snapToGrid w:val="0"/>
          <w:sz w:val="24"/>
          <w:szCs w:val="24"/>
          <w:lang w:eastAsia="ru-RU"/>
        </w:rPr>
        <w:t xml:space="preserve">В исследовании с участием 19 добровольцев с разной степенью нарушения функций почек (24-ч клиренс креатинина 9-116 мл/мин) не обнаружено различий в фармакокинетике </w:t>
      </w:r>
      <w:proofErr w:type="spellStart"/>
      <w:r w:rsidRPr="007E6425">
        <w:rPr>
          <w:rFonts w:ascii="Times New Roman" w:eastAsia="Times New Roman" w:hAnsi="Times New Roman" w:cs="Times New Roman"/>
          <w:iCs/>
          <w:snapToGrid w:val="0"/>
          <w:sz w:val="24"/>
          <w:szCs w:val="24"/>
          <w:lang w:eastAsia="ru-RU"/>
        </w:rPr>
        <w:t>летрозола</w:t>
      </w:r>
      <w:proofErr w:type="spellEnd"/>
      <w:r w:rsidRPr="007E6425">
        <w:rPr>
          <w:rFonts w:ascii="Times New Roman" w:eastAsia="Times New Roman" w:hAnsi="Times New Roman" w:cs="Times New Roman"/>
          <w:iCs/>
          <w:snapToGrid w:val="0"/>
          <w:sz w:val="24"/>
          <w:szCs w:val="24"/>
          <w:lang w:eastAsia="ru-RU"/>
        </w:rPr>
        <w:t xml:space="preserve"> после однократной дозы 2,5 мг. </w:t>
      </w:r>
    </w:p>
    <w:p w14:paraId="266FD87F"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iCs/>
          <w:snapToGrid w:val="0"/>
          <w:sz w:val="24"/>
          <w:szCs w:val="24"/>
          <w:lang w:eastAsia="ru-RU"/>
        </w:rPr>
      </w:pPr>
      <w:r w:rsidRPr="007E6425">
        <w:rPr>
          <w:rFonts w:ascii="Times New Roman" w:eastAsia="Times New Roman" w:hAnsi="Times New Roman" w:cs="Times New Roman"/>
          <w:iCs/>
          <w:snapToGrid w:val="0"/>
          <w:sz w:val="24"/>
          <w:szCs w:val="24"/>
          <w:lang w:eastAsia="ru-RU"/>
        </w:rPr>
        <w:t xml:space="preserve">Кроме оценки влияния нарушения функции почек на </w:t>
      </w:r>
      <w:proofErr w:type="spellStart"/>
      <w:r w:rsidRPr="007E6425">
        <w:rPr>
          <w:rFonts w:ascii="Times New Roman" w:eastAsia="Times New Roman" w:hAnsi="Times New Roman" w:cs="Times New Roman"/>
          <w:iCs/>
          <w:snapToGrid w:val="0"/>
          <w:sz w:val="24"/>
          <w:szCs w:val="24"/>
          <w:lang w:eastAsia="ru-RU"/>
        </w:rPr>
        <w:t>летрозол</w:t>
      </w:r>
      <w:proofErr w:type="spellEnd"/>
      <w:r w:rsidRPr="007E6425">
        <w:rPr>
          <w:rFonts w:ascii="Times New Roman" w:eastAsia="Times New Roman" w:hAnsi="Times New Roman" w:cs="Times New Roman"/>
          <w:iCs/>
          <w:snapToGrid w:val="0"/>
          <w:sz w:val="24"/>
          <w:szCs w:val="24"/>
          <w:lang w:eastAsia="ru-RU"/>
        </w:rPr>
        <w:t xml:space="preserve">, был проведен ковариантный анализ двух </w:t>
      </w:r>
      <w:proofErr w:type="spellStart"/>
      <w:r w:rsidRPr="007E6425">
        <w:rPr>
          <w:rFonts w:ascii="Times New Roman" w:eastAsia="Times New Roman" w:hAnsi="Times New Roman" w:cs="Times New Roman"/>
          <w:iCs/>
          <w:snapToGrid w:val="0"/>
          <w:sz w:val="24"/>
          <w:szCs w:val="24"/>
          <w:lang w:eastAsia="ru-RU"/>
        </w:rPr>
        <w:t>пивотальных</w:t>
      </w:r>
      <w:proofErr w:type="spellEnd"/>
      <w:r w:rsidRPr="007E6425">
        <w:rPr>
          <w:rFonts w:ascii="Times New Roman" w:eastAsia="Times New Roman" w:hAnsi="Times New Roman" w:cs="Times New Roman"/>
          <w:iCs/>
          <w:snapToGrid w:val="0"/>
          <w:sz w:val="24"/>
          <w:szCs w:val="24"/>
          <w:lang w:eastAsia="ru-RU"/>
        </w:rPr>
        <w:t xml:space="preserve"> исследований (AR/BC2 и AR/BC3). Вычисленные значения клиренса креатинина (КК) (в исследовании AR/BC2 – в интервале от 19 до 187, а в исследовании AR/BC3 - в интервале от 10 до 180 мл/мин) не выявили статистически значимой зависимости между минимальными концентрациями </w:t>
      </w:r>
      <w:proofErr w:type="spellStart"/>
      <w:r w:rsidRPr="007E6425">
        <w:rPr>
          <w:rFonts w:ascii="Times New Roman" w:eastAsia="Times New Roman" w:hAnsi="Times New Roman" w:cs="Times New Roman"/>
          <w:iCs/>
          <w:snapToGrid w:val="0"/>
          <w:sz w:val="24"/>
          <w:szCs w:val="24"/>
          <w:lang w:eastAsia="ru-RU"/>
        </w:rPr>
        <w:t>летрозола</w:t>
      </w:r>
      <w:proofErr w:type="spellEnd"/>
      <w:r w:rsidRPr="007E6425">
        <w:rPr>
          <w:rFonts w:ascii="Times New Roman" w:eastAsia="Times New Roman" w:hAnsi="Times New Roman" w:cs="Times New Roman"/>
          <w:iCs/>
          <w:snapToGrid w:val="0"/>
          <w:sz w:val="24"/>
          <w:szCs w:val="24"/>
          <w:lang w:eastAsia="ru-RU"/>
        </w:rPr>
        <w:t xml:space="preserve"> в плазме (</w:t>
      </w:r>
      <w:proofErr w:type="spellStart"/>
      <w:r w:rsidRPr="007E6425">
        <w:rPr>
          <w:rFonts w:ascii="Times New Roman" w:eastAsia="Times New Roman" w:hAnsi="Times New Roman" w:cs="Times New Roman"/>
          <w:iCs/>
          <w:snapToGrid w:val="0"/>
          <w:sz w:val="24"/>
          <w:szCs w:val="24"/>
          <w:lang w:eastAsia="ru-RU"/>
        </w:rPr>
        <w:t>С</w:t>
      </w:r>
      <w:r w:rsidRPr="007E6425">
        <w:rPr>
          <w:rFonts w:ascii="Times New Roman" w:eastAsia="Times New Roman" w:hAnsi="Times New Roman" w:cs="Times New Roman"/>
          <w:iCs/>
          <w:snapToGrid w:val="0"/>
          <w:sz w:val="24"/>
          <w:szCs w:val="24"/>
          <w:vertAlign w:val="subscript"/>
          <w:lang w:eastAsia="ru-RU"/>
        </w:rPr>
        <w:t>min</w:t>
      </w:r>
      <w:proofErr w:type="spellEnd"/>
      <w:r w:rsidRPr="007E6425">
        <w:rPr>
          <w:rFonts w:ascii="Times New Roman" w:eastAsia="Times New Roman" w:hAnsi="Times New Roman" w:cs="Times New Roman"/>
          <w:iCs/>
          <w:snapToGrid w:val="0"/>
          <w:sz w:val="24"/>
          <w:szCs w:val="24"/>
          <w:lang w:eastAsia="ru-RU"/>
        </w:rPr>
        <w:t xml:space="preserve">) в равновесном состоянии. Более того, результаты исследований AR/BC2 и AR/BC3 при терапии второй линии распространенного рака молочной железы не выявили неблагоприятных эффектов </w:t>
      </w:r>
      <w:proofErr w:type="spellStart"/>
      <w:r w:rsidRPr="007E6425">
        <w:rPr>
          <w:rFonts w:ascii="Times New Roman" w:eastAsia="Times New Roman" w:hAnsi="Times New Roman" w:cs="Times New Roman"/>
          <w:iCs/>
          <w:snapToGrid w:val="0"/>
          <w:sz w:val="24"/>
          <w:szCs w:val="24"/>
          <w:lang w:eastAsia="ru-RU"/>
        </w:rPr>
        <w:t>летрозола</w:t>
      </w:r>
      <w:proofErr w:type="spellEnd"/>
      <w:r w:rsidRPr="007E6425">
        <w:rPr>
          <w:rFonts w:ascii="Times New Roman" w:eastAsia="Times New Roman" w:hAnsi="Times New Roman" w:cs="Times New Roman"/>
          <w:iCs/>
          <w:snapToGrid w:val="0"/>
          <w:sz w:val="24"/>
          <w:szCs w:val="24"/>
          <w:lang w:eastAsia="ru-RU"/>
        </w:rPr>
        <w:t xml:space="preserve"> на КК или нарушение функции почек.</w:t>
      </w:r>
    </w:p>
    <w:p w14:paraId="2BD13989"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iCs/>
          <w:snapToGrid w:val="0"/>
          <w:sz w:val="24"/>
          <w:szCs w:val="24"/>
          <w:lang w:eastAsia="ru-RU"/>
        </w:rPr>
      </w:pPr>
      <w:r w:rsidRPr="007E6425">
        <w:rPr>
          <w:rFonts w:ascii="Times New Roman" w:eastAsia="Times New Roman" w:hAnsi="Times New Roman" w:cs="Times New Roman"/>
          <w:iCs/>
          <w:snapToGrid w:val="0"/>
          <w:sz w:val="24"/>
          <w:szCs w:val="24"/>
          <w:lang w:eastAsia="ru-RU"/>
        </w:rPr>
        <w:t>Таким образом, нет необходимости подбора доза для пациентов с нарушением функции почек (КК ≥ 10 мл/мин). Информация о пациентах с тяжелой почечной недостаточностью (КК &lt;10 мл/мин) весьма ограничена.</w:t>
      </w:r>
    </w:p>
    <w:p w14:paraId="1498F57E"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i/>
          <w:snapToGrid w:val="0"/>
          <w:sz w:val="24"/>
          <w:szCs w:val="24"/>
          <w:lang w:eastAsia="ru-RU"/>
        </w:rPr>
      </w:pPr>
      <w:r w:rsidRPr="007E6425">
        <w:rPr>
          <w:rFonts w:ascii="Times New Roman" w:eastAsia="Times New Roman" w:hAnsi="Times New Roman" w:cs="Times New Roman"/>
          <w:i/>
          <w:snapToGrid w:val="0"/>
          <w:sz w:val="24"/>
          <w:szCs w:val="24"/>
          <w:lang w:eastAsia="ru-RU"/>
        </w:rPr>
        <w:t>Нарушение функции печени</w:t>
      </w:r>
    </w:p>
    <w:p w14:paraId="4B0EA981" w14:textId="04D4B6DD"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В исследовании пациентов с разной степенью нарушения функции</w:t>
      </w:r>
      <w:r w:rsidRPr="007E6425">
        <w:rPr>
          <w:rFonts w:ascii="Times New Roman" w:eastAsia="TimesNewRoman" w:hAnsi="Times New Roman" w:cs="Times New Roman"/>
          <w:sz w:val="24"/>
          <w:szCs w:val="24"/>
          <w:lang w:eastAsia="ru-RU"/>
        </w:rPr>
        <w:t xml:space="preserve"> </w:t>
      </w:r>
      <w:r w:rsidRPr="007E6425">
        <w:rPr>
          <w:rFonts w:ascii="Times New Roman" w:eastAsia="Times New Roman" w:hAnsi="Times New Roman" w:cs="Times New Roman"/>
          <w:snapToGrid w:val="0"/>
          <w:sz w:val="24"/>
          <w:szCs w:val="24"/>
          <w:lang w:eastAsia="ru-RU"/>
        </w:rPr>
        <w:t>печени средние значения AUC у пациентов с умеренным нарушением функции печени (класс В по шкале Чайлд-Пью) были на 37% выше, чем у здоровых, но все же находились в пределах границ, зарегистрированных у испытуемых с нормальной функцией печени. У пациентов с циррозом печени и тяжелыми нарушениями функции печени (класс C по шкале Чайлд-Пью) AUC увеличивается на 95% и T</w:t>
      </w:r>
      <w:r w:rsidRPr="007E6425">
        <w:rPr>
          <w:rFonts w:ascii="Times New Roman" w:eastAsia="Times New Roman" w:hAnsi="Times New Roman" w:cs="Times New Roman"/>
          <w:snapToGrid w:val="0"/>
          <w:sz w:val="24"/>
          <w:szCs w:val="24"/>
          <w:vertAlign w:val="subscript"/>
          <w:lang w:eastAsia="ru-RU"/>
        </w:rPr>
        <w:t>1/2</w:t>
      </w:r>
      <w:r w:rsidRPr="007E6425">
        <w:rPr>
          <w:rFonts w:ascii="Times New Roman" w:eastAsia="Times New Roman" w:hAnsi="Times New Roman" w:cs="Times New Roman"/>
          <w:snapToGrid w:val="0"/>
          <w:sz w:val="24"/>
          <w:szCs w:val="24"/>
          <w:lang w:eastAsia="ru-RU"/>
        </w:rPr>
        <w:t xml:space="preserve"> на 187%. Поэтому таким пациентам </w:t>
      </w:r>
      <w:proofErr w:type="spellStart"/>
      <w:r w:rsidR="00817DAB">
        <w:rPr>
          <w:rFonts w:ascii="Times New Roman" w:eastAsia="Times New Roman" w:hAnsi="Times New Roman" w:cs="Times New Roman"/>
          <w:snapToGrid w:val="0"/>
          <w:sz w:val="24"/>
          <w:szCs w:val="24"/>
          <w:lang w:eastAsia="ru-RU"/>
        </w:rPr>
        <w:t>Летродэй</w:t>
      </w:r>
      <w:proofErr w:type="spellEnd"/>
      <w:r w:rsidRPr="007E6425">
        <w:rPr>
          <w:rFonts w:ascii="Times New Roman" w:eastAsia="Times New Roman" w:hAnsi="Times New Roman" w:cs="Times New Roman"/>
          <w:snapToGrid w:val="0"/>
          <w:sz w:val="24"/>
          <w:szCs w:val="24"/>
          <w:lang w:eastAsia="ru-RU"/>
        </w:rPr>
        <w:t xml:space="preserve"> следует применять с осторожностью и после оценки соотношения риска/пользы. </w:t>
      </w:r>
    </w:p>
    <w:p w14:paraId="1E9FBA3D" w14:textId="68190B8D" w:rsidR="005217E5" w:rsidRPr="00E137E5" w:rsidRDefault="007E6425" w:rsidP="00E137E5">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eastAsia="ru-RU"/>
        </w:rPr>
      </w:pPr>
      <w:r w:rsidRPr="007E6425">
        <w:rPr>
          <w:rFonts w:ascii="Times New Roman" w:eastAsia="Times New Roman" w:hAnsi="Times New Roman" w:cs="Times New Roman"/>
          <w:snapToGrid w:val="0"/>
          <w:sz w:val="24"/>
          <w:szCs w:val="24"/>
          <w:lang w:eastAsia="ru-RU"/>
        </w:rPr>
        <w:t xml:space="preserve">Таким образом, </w:t>
      </w:r>
      <w:proofErr w:type="spellStart"/>
      <w:r w:rsidRPr="007E6425">
        <w:rPr>
          <w:rFonts w:ascii="Times New Roman" w:eastAsia="Times New Roman" w:hAnsi="Times New Roman" w:cs="Times New Roman"/>
          <w:snapToGrid w:val="0"/>
          <w:sz w:val="24"/>
          <w:szCs w:val="24"/>
          <w:lang w:eastAsia="ru-RU"/>
        </w:rPr>
        <w:t>летрозол</w:t>
      </w:r>
      <w:proofErr w:type="spellEnd"/>
      <w:r w:rsidRPr="007E6425">
        <w:rPr>
          <w:rFonts w:ascii="Times New Roman" w:eastAsia="Times New Roman" w:hAnsi="Times New Roman" w:cs="Times New Roman"/>
          <w:snapToGrid w:val="0"/>
          <w:sz w:val="24"/>
          <w:szCs w:val="24"/>
          <w:lang w:eastAsia="ru-RU"/>
        </w:rPr>
        <w:t xml:space="preserve"> следует вводить с осторожностью пациенткам с тяжёлым нарушением функции печени и только после индивидуальной оценки отношения риска/пользы. </w:t>
      </w:r>
    </w:p>
    <w:p w14:paraId="5934AEF6" w14:textId="77777777" w:rsidR="007E6425" w:rsidRPr="007E6425" w:rsidRDefault="007E6425" w:rsidP="00F602A1">
      <w:pPr>
        <w:autoSpaceDE w:val="0"/>
        <w:autoSpaceDN w:val="0"/>
        <w:adjustRightInd w:val="0"/>
        <w:spacing w:after="0" w:line="240" w:lineRule="auto"/>
        <w:ind w:right="283"/>
        <w:rPr>
          <w:rFonts w:ascii="Times New Roman" w:eastAsia="Times New Roman" w:hAnsi="Times New Roman" w:cs="Times New Roman"/>
          <w:b/>
          <w:snapToGrid w:val="0"/>
          <w:sz w:val="24"/>
          <w:szCs w:val="24"/>
          <w:lang w:eastAsia="ru-RU"/>
        </w:rPr>
      </w:pPr>
      <w:r w:rsidRPr="007E6425">
        <w:rPr>
          <w:rFonts w:ascii="Times New Roman" w:eastAsia="Times New Roman" w:hAnsi="Times New Roman" w:cs="Times New Roman"/>
          <w:b/>
          <w:snapToGrid w:val="0"/>
          <w:sz w:val="24"/>
          <w:szCs w:val="24"/>
          <w:lang w:eastAsia="ru-RU"/>
        </w:rPr>
        <w:lastRenderedPageBreak/>
        <w:t>5.3</w:t>
      </w:r>
      <w:r w:rsidRPr="007E6425">
        <w:rPr>
          <w:rFonts w:ascii="Times New Roman" w:eastAsia="Times New Roman" w:hAnsi="Times New Roman" w:cs="Times New Roman"/>
          <w:b/>
          <w:snapToGrid w:val="0"/>
          <w:sz w:val="24"/>
          <w:szCs w:val="24"/>
          <w:lang w:eastAsia="ru-RU"/>
        </w:rPr>
        <w:tab/>
        <w:t>Данные доклинической безопасности</w:t>
      </w:r>
    </w:p>
    <w:p w14:paraId="5528EEC7"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bCs/>
          <w:snapToGrid w:val="0"/>
          <w:sz w:val="24"/>
          <w:szCs w:val="24"/>
          <w:lang w:eastAsia="ru-RU"/>
        </w:rPr>
      </w:pPr>
      <w:r w:rsidRPr="007E6425">
        <w:rPr>
          <w:rFonts w:ascii="Times New Roman" w:eastAsia="Times New Roman" w:hAnsi="Times New Roman" w:cs="Times New Roman"/>
          <w:bCs/>
          <w:snapToGrid w:val="0"/>
          <w:sz w:val="24"/>
          <w:szCs w:val="24"/>
          <w:lang w:eastAsia="ru-RU"/>
        </w:rPr>
        <w:t xml:space="preserve">В различных доклинических исследованиях безопасности, проведенных на стандартных видах лабораторных животных, не выявлено признаков системной токсичности или токсического действия на органы-мишени. </w:t>
      </w:r>
    </w:p>
    <w:p w14:paraId="1E5D3936"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bCs/>
          <w:snapToGrid w:val="0"/>
          <w:sz w:val="24"/>
          <w:szCs w:val="24"/>
          <w:lang w:eastAsia="ru-RU"/>
        </w:rPr>
      </w:pPr>
      <w:r w:rsidRPr="007E6425">
        <w:rPr>
          <w:rFonts w:ascii="Times New Roman" w:eastAsia="Times New Roman" w:hAnsi="Times New Roman" w:cs="Times New Roman"/>
          <w:bCs/>
          <w:snapToGrid w:val="0"/>
          <w:sz w:val="24"/>
          <w:szCs w:val="24"/>
          <w:lang w:eastAsia="ru-RU"/>
        </w:rPr>
        <w:t xml:space="preserve">Показана низкая острая токсичность </w:t>
      </w:r>
      <w:proofErr w:type="spellStart"/>
      <w:r w:rsidRPr="007E6425">
        <w:rPr>
          <w:rFonts w:ascii="Times New Roman" w:eastAsia="Times New Roman" w:hAnsi="Times New Roman" w:cs="Times New Roman"/>
          <w:bCs/>
          <w:snapToGrid w:val="0"/>
          <w:sz w:val="24"/>
          <w:szCs w:val="24"/>
          <w:lang w:eastAsia="ru-RU"/>
        </w:rPr>
        <w:t>летрозола</w:t>
      </w:r>
      <w:proofErr w:type="spellEnd"/>
      <w:r w:rsidRPr="007E6425">
        <w:rPr>
          <w:rFonts w:ascii="Times New Roman" w:eastAsia="Times New Roman" w:hAnsi="Times New Roman" w:cs="Times New Roman"/>
          <w:bCs/>
          <w:snapToGrid w:val="0"/>
          <w:sz w:val="24"/>
          <w:szCs w:val="24"/>
          <w:lang w:eastAsia="ru-RU"/>
        </w:rPr>
        <w:t xml:space="preserve"> у грызунов, получавших до 2000 мг/кг. У собак </w:t>
      </w:r>
      <w:proofErr w:type="spellStart"/>
      <w:r w:rsidRPr="007E6425">
        <w:rPr>
          <w:rFonts w:ascii="Times New Roman" w:eastAsia="Times New Roman" w:hAnsi="Times New Roman" w:cs="Times New Roman"/>
          <w:bCs/>
          <w:snapToGrid w:val="0"/>
          <w:sz w:val="24"/>
          <w:szCs w:val="24"/>
          <w:lang w:eastAsia="ru-RU"/>
        </w:rPr>
        <w:t>летрозол</w:t>
      </w:r>
      <w:proofErr w:type="spellEnd"/>
      <w:r w:rsidRPr="007E6425">
        <w:rPr>
          <w:rFonts w:ascii="Times New Roman" w:eastAsia="Times New Roman" w:hAnsi="Times New Roman" w:cs="Times New Roman"/>
          <w:bCs/>
          <w:snapToGrid w:val="0"/>
          <w:sz w:val="24"/>
          <w:szCs w:val="24"/>
          <w:lang w:eastAsia="ru-RU"/>
        </w:rPr>
        <w:t xml:space="preserve"> вызывает признаки умеренной токсичности при дозе 100 мг/кг. </w:t>
      </w:r>
    </w:p>
    <w:p w14:paraId="79689C30"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bCs/>
          <w:snapToGrid w:val="0"/>
          <w:sz w:val="24"/>
          <w:szCs w:val="24"/>
          <w:lang w:eastAsia="ru-RU"/>
        </w:rPr>
      </w:pPr>
      <w:r w:rsidRPr="007E6425">
        <w:rPr>
          <w:rFonts w:ascii="Times New Roman" w:eastAsia="Times New Roman" w:hAnsi="Times New Roman" w:cs="Times New Roman"/>
          <w:bCs/>
          <w:snapToGrid w:val="0"/>
          <w:sz w:val="24"/>
          <w:szCs w:val="24"/>
          <w:lang w:eastAsia="ru-RU"/>
        </w:rPr>
        <w:t xml:space="preserve">В исследовании токсичности многократного введения препарата крысам и собакам на протяжении до 12 месяцев основные зарегистрированные признаки могут быть связаны с фармакологическим действием препарата. Уровень, не вызывающий нежелательного эффекта, был у обоих видов 0,3 мг/кг. </w:t>
      </w:r>
    </w:p>
    <w:p w14:paraId="3D3CD9E5"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bCs/>
          <w:snapToGrid w:val="0"/>
          <w:sz w:val="24"/>
          <w:szCs w:val="24"/>
          <w:lang w:eastAsia="ru-RU"/>
        </w:rPr>
      </w:pPr>
      <w:r w:rsidRPr="007E6425">
        <w:rPr>
          <w:rFonts w:ascii="Times New Roman" w:eastAsia="Times New Roman" w:hAnsi="Times New Roman" w:cs="Times New Roman"/>
          <w:bCs/>
          <w:snapToGrid w:val="0"/>
          <w:sz w:val="24"/>
          <w:szCs w:val="24"/>
          <w:lang w:eastAsia="ru-RU"/>
        </w:rPr>
        <w:t xml:space="preserve">При пероральном введении </w:t>
      </w:r>
      <w:proofErr w:type="spellStart"/>
      <w:r w:rsidRPr="007E6425">
        <w:rPr>
          <w:rFonts w:ascii="Times New Roman" w:eastAsia="Times New Roman" w:hAnsi="Times New Roman" w:cs="Times New Roman"/>
          <w:bCs/>
          <w:snapToGrid w:val="0"/>
          <w:sz w:val="24"/>
          <w:szCs w:val="24"/>
          <w:lang w:eastAsia="ru-RU"/>
        </w:rPr>
        <w:t>летрозола</w:t>
      </w:r>
      <w:proofErr w:type="spellEnd"/>
      <w:r w:rsidRPr="007E6425">
        <w:rPr>
          <w:rFonts w:ascii="Times New Roman" w:eastAsia="Times New Roman" w:hAnsi="Times New Roman" w:cs="Times New Roman"/>
          <w:bCs/>
          <w:snapToGrid w:val="0"/>
          <w:sz w:val="24"/>
          <w:szCs w:val="24"/>
          <w:lang w:eastAsia="ru-RU"/>
        </w:rPr>
        <w:t xml:space="preserve"> самкам крыс наблюдалось нарушение половой активности при спаривании и частота наступления беременности, а также увеличение потерь до имплантации.</w:t>
      </w:r>
    </w:p>
    <w:p w14:paraId="627FF4CA"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bCs/>
          <w:snapToGrid w:val="0"/>
          <w:sz w:val="24"/>
          <w:szCs w:val="24"/>
          <w:lang w:eastAsia="ru-RU"/>
        </w:rPr>
      </w:pPr>
      <w:r w:rsidRPr="007E6425">
        <w:rPr>
          <w:rFonts w:ascii="Times New Roman" w:eastAsia="Times New Roman" w:hAnsi="Times New Roman" w:cs="Times New Roman"/>
          <w:bCs/>
          <w:snapToGrid w:val="0"/>
          <w:sz w:val="24"/>
          <w:szCs w:val="24"/>
          <w:lang w:eastAsia="ru-RU"/>
        </w:rPr>
        <w:t xml:space="preserve">Исследования мутагенного потенциала </w:t>
      </w:r>
      <w:proofErr w:type="spellStart"/>
      <w:r w:rsidRPr="007E6425">
        <w:rPr>
          <w:rFonts w:ascii="Times New Roman" w:eastAsia="Times New Roman" w:hAnsi="Times New Roman" w:cs="Times New Roman"/>
          <w:bCs/>
          <w:snapToGrid w:val="0"/>
          <w:sz w:val="24"/>
          <w:szCs w:val="24"/>
          <w:lang w:eastAsia="ru-RU"/>
        </w:rPr>
        <w:t>летрозола</w:t>
      </w:r>
      <w:proofErr w:type="spellEnd"/>
      <w:r w:rsidRPr="007E6425">
        <w:rPr>
          <w:rFonts w:ascii="Times New Roman" w:eastAsia="Times New Roman" w:hAnsi="Times New Roman" w:cs="Times New Roman"/>
          <w:bCs/>
          <w:snapToGrid w:val="0"/>
          <w:sz w:val="24"/>
          <w:szCs w:val="24"/>
          <w:lang w:eastAsia="ru-RU"/>
        </w:rPr>
        <w:t xml:space="preserve"> </w:t>
      </w:r>
      <w:proofErr w:type="spellStart"/>
      <w:r w:rsidRPr="007E6425">
        <w:rPr>
          <w:rFonts w:ascii="Times New Roman" w:eastAsia="Times New Roman" w:hAnsi="Times New Roman" w:cs="Times New Roman"/>
          <w:bCs/>
          <w:i/>
          <w:snapToGrid w:val="0"/>
          <w:sz w:val="24"/>
          <w:szCs w:val="24"/>
          <w:lang w:eastAsia="ru-RU"/>
        </w:rPr>
        <w:t>in</w:t>
      </w:r>
      <w:proofErr w:type="spellEnd"/>
      <w:r w:rsidRPr="007E6425">
        <w:rPr>
          <w:rFonts w:ascii="Times New Roman" w:eastAsia="Times New Roman" w:hAnsi="Times New Roman" w:cs="Times New Roman"/>
          <w:bCs/>
          <w:i/>
          <w:snapToGrid w:val="0"/>
          <w:sz w:val="24"/>
          <w:szCs w:val="24"/>
          <w:lang w:eastAsia="ru-RU"/>
        </w:rPr>
        <w:t xml:space="preserve"> </w:t>
      </w:r>
      <w:proofErr w:type="spellStart"/>
      <w:r w:rsidRPr="007E6425">
        <w:rPr>
          <w:rFonts w:ascii="Times New Roman" w:eastAsia="Times New Roman" w:hAnsi="Times New Roman" w:cs="Times New Roman"/>
          <w:bCs/>
          <w:i/>
          <w:snapToGrid w:val="0"/>
          <w:sz w:val="24"/>
          <w:szCs w:val="24"/>
          <w:lang w:eastAsia="ru-RU"/>
        </w:rPr>
        <w:t>vitro</w:t>
      </w:r>
      <w:proofErr w:type="spellEnd"/>
      <w:r w:rsidRPr="007E6425">
        <w:rPr>
          <w:rFonts w:ascii="Times New Roman" w:eastAsia="Times New Roman" w:hAnsi="Times New Roman" w:cs="Times New Roman"/>
          <w:bCs/>
          <w:snapToGrid w:val="0"/>
          <w:sz w:val="24"/>
          <w:szCs w:val="24"/>
          <w:lang w:eastAsia="ru-RU"/>
        </w:rPr>
        <w:t xml:space="preserve"> и </w:t>
      </w:r>
      <w:proofErr w:type="spellStart"/>
      <w:r w:rsidRPr="007E6425">
        <w:rPr>
          <w:rFonts w:ascii="Times New Roman" w:eastAsia="Times New Roman" w:hAnsi="Times New Roman" w:cs="Times New Roman"/>
          <w:bCs/>
          <w:i/>
          <w:snapToGrid w:val="0"/>
          <w:sz w:val="24"/>
          <w:szCs w:val="24"/>
          <w:lang w:eastAsia="ru-RU"/>
        </w:rPr>
        <w:t>in</w:t>
      </w:r>
      <w:proofErr w:type="spellEnd"/>
      <w:r w:rsidRPr="007E6425">
        <w:rPr>
          <w:rFonts w:ascii="Times New Roman" w:eastAsia="Times New Roman" w:hAnsi="Times New Roman" w:cs="Times New Roman"/>
          <w:bCs/>
          <w:i/>
          <w:snapToGrid w:val="0"/>
          <w:sz w:val="24"/>
          <w:szCs w:val="24"/>
          <w:lang w:eastAsia="ru-RU"/>
        </w:rPr>
        <w:t xml:space="preserve"> </w:t>
      </w:r>
      <w:proofErr w:type="spellStart"/>
      <w:r w:rsidRPr="007E6425">
        <w:rPr>
          <w:rFonts w:ascii="Times New Roman" w:eastAsia="Times New Roman" w:hAnsi="Times New Roman" w:cs="Times New Roman"/>
          <w:bCs/>
          <w:i/>
          <w:snapToGrid w:val="0"/>
          <w:sz w:val="24"/>
          <w:szCs w:val="24"/>
          <w:lang w:eastAsia="ru-RU"/>
        </w:rPr>
        <w:t>vivo</w:t>
      </w:r>
      <w:proofErr w:type="spellEnd"/>
      <w:r w:rsidRPr="007E6425">
        <w:rPr>
          <w:rFonts w:ascii="Times New Roman" w:eastAsia="Times New Roman" w:hAnsi="Times New Roman" w:cs="Times New Roman"/>
          <w:bCs/>
          <w:snapToGrid w:val="0"/>
          <w:sz w:val="24"/>
          <w:szCs w:val="24"/>
          <w:lang w:eastAsia="ru-RU"/>
        </w:rPr>
        <w:t xml:space="preserve"> не выявили признаков </w:t>
      </w:r>
      <w:proofErr w:type="spellStart"/>
      <w:r w:rsidRPr="007E6425">
        <w:rPr>
          <w:rFonts w:ascii="Times New Roman" w:eastAsia="Times New Roman" w:hAnsi="Times New Roman" w:cs="Times New Roman"/>
          <w:bCs/>
          <w:snapToGrid w:val="0"/>
          <w:sz w:val="24"/>
          <w:szCs w:val="24"/>
          <w:lang w:eastAsia="ru-RU"/>
        </w:rPr>
        <w:t>генотоксичности</w:t>
      </w:r>
      <w:proofErr w:type="spellEnd"/>
      <w:r w:rsidRPr="007E6425">
        <w:rPr>
          <w:rFonts w:ascii="Times New Roman" w:eastAsia="Times New Roman" w:hAnsi="Times New Roman" w:cs="Times New Roman"/>
          <w:bCs/>
          <w:snapToGrid w:val="0"/>
          <w:sz w:val="24"/>
          <w:szCs w:val="24"/>
          <w:lang w:eastAsia="ru-RU"/>
        </w:rPr>
        <w:t xml:space="preserve">.  </w:t>
      </w:r>
    </w:p>
    <w:p w14:paraId="61DED7FA"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bCs/>
          <w:snapToGrid w:val="0"/>
          <w:sz w:val="24"/>
          <w:szCs w:val="24"/>
          <w:lang w:eastAsia="ru-RU"/>
        </w:rPr>
      </w:pPr>
      <w:r w:rsidRPr="007E6425">
        <w:rPr>
          <w:rFonts w:ascii="Times New Roman" w:eastAsia="Times New Roman" w:hAnsi="Times New Roman" w:cs="Times New Roman"/>
          <w:bCs/>
          <w:snapToGrid w:val="0"/>
          <w:sz w:val="24"/>
          <w:szCs w:val="24"/>
          <w:lang w:eastAsia="ru-RU"/>
        </w:rPr>
        <w:t xml:space="preserve">В 104-недельном исследовании канцерогенеза у самцов крыс не было выявлено опухолей, вызванных вводимым препаратом. У самок крыс обнаружено снижение частоты доброкачественных и злокачественных опухолей молочных желез при всех дозах </w:t>
      </w:r>
      <w:proofErr w:type="spellStart"/>
      <w:r w:rsidRPr="007E6425">
        <w:rPr>
          <w:rFonts w:ascii="Times New Roman" w:eastAsia="Times New Roman" w:hAnsi="Times New Roman" w:cs="Times New Roman"/>
          <w:bCs/>
          <w:snapToGrid w:val="0"/>
          <w:sz w:val="24"/>
          <w:szCs w:val="24"/>
          <w:lang w:eastAsia="ru-RU"/>
        </w:rPr>
        <w:t>летрозола</w:t>
      </w:r>
      <w:proofErr w:type="spellEnd"/>
      <w:r w:rsidRPr="007E6425">
        <w:rPr>
          <w:rFonts w:ascii="Times New Roman" w:eastAsia="Times New Roman" w:hAnsi="Times New Roman" w:cs="Times New Roman"/>
          <w:bCs/>
          <w:snapToGrid w:val="0"/>
          <w:sz w:val="24"/>
          <w:szCs w:val="24"/>
          <w:lang w:eastAsia="ru-RU"/>
        </w:rPr>
        <w:t xml:space="preserve">. </w:t>
      </w:r>
    </w:p>
    <w:p w14:paraId="3D106F8E"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bCs/>
          <w:snapToGrid w:val="0"/>
          <w:sz w:val="24"/>
          <w:szCs w:val="24"/>
          <w:lang w:eastAsia="ru-RU"/>
        </w:rPr>
      </w:pPr>
      <w:r w:rsidRPr="007E6425">
        <w:rPr>
          <w:rFonts w:ascii="Times New Roman" w:eastAsia="Times New Roman" w:hAnsi="Times New Roman" w:cs="Times New Roman"/>
          <w:bCs/>
          <w:snapToGrid w:val="0"/>
          <w:sz w:val="24"/>
          <w:szCs w:val="24"/>
          <w:lang w:eastAsia="ru-RU"/>
        </w:rPr>
        <w:t xml:space="preserve">В 104-недельном исследовании канцерогенеза у самцов мышей не было выявлено опухолей, вызванных вводимым препаратом. У самок мышей наблюдалась </w:t>
      </w:r>
      <w:proofErr w:type="spellStart"/>
      <w:r w:rsidRPr="007E6425">
        <w:rPr>
          <w:rFonts w:ascii="Times New Roman" w:eastAsia="Times New Roman" w:hAnsi="Times New Roman" w:cs="Times New Roman"/>
          <w:bCs/>
          <w:snapToGrid w:val="0"/>
          <w:sz w:val="24"/>
          <w:szCs w:val="24"/>
          <w:lang w:eastAsia="ru-RU"/>
        </w:rPr>
        <w:t>дозо</w:t>
      </w:r>
      <w:proofErr w:type="spellEnd"/>
      <w:r w:rsidRPr="007E6425">
        <w:rPr>
          <w:rFonts w:ascii="Times New Roman" w:eastAsia="Times New Roman" w:hAnsi="Times New Roman" w:cs="Times New Roman"/>
          <w:bCs/>
          <w:snapToGrid w:val="0"/>
          <w:sz w:val="24"/>
          <w:szCs w:val="24"/>
          <w:lang w:eastAsia="ru-RU"/>
        </w:rPr>
        <w:t xml:space="preserve">-зависимое повышение частоты доброкачественных опухолей гранулезных </w:t>
      </w:r>
      <w:proofErr w:type="spellStart"/>
      <w:r w:rsidRPr="007E6425">
        <w:rPr>
          <w:rFonts w:ascii="Times New Roman" w:eastAsia="Times New Roman" w:hAnsi="Times New Roman" w:cs="Times New Roman"/>
          <w:bCs/>
          <w:snapToGrid w:val="0"/>
          <w:sz w:val="24"/>
          <w:szCs w:val="24"/>
          <w:lang w:eastAsia="ru-RU"/>
        </w:rPr>
        <w:t>текальных</w:t>
      </w:r>
      <w:proofErr w:type="spellEnd"/>
      <w:r w:rsidRPr="007E6425">
        <w:rPr>
          <w:rFonts w:ascii="Times New Roman" w:eastAsia="Times New Roman" w:hAnsi="Times New Roman" w:cs="Times New Roman"/>
          <w:bCs/>
          <w:snapToGrid w:val="0"/>
          <w:sz w:val="24"/>
          <w:szCs w:val="24"/>
          <w:lang w:eastAsia="ru-RU"/>
        </w:rPr>
        <w:t xml:space="preserve"> клеток при всех дозах </w:t>
      </w:r>
      <w:proofErr w:type="spellStart"/>
      <w:r w:rsidRPr="007E6425">
        <w:rPr>
          <w:rFonts w:ascii="Times New Roman" w:eastAsia="Times New Roman" w:hAnsi="Times New Roman" w:cs="Times New Roman"/>
          <w:bCs/>
          <w:snapToGrid w:val="0"/>
          <w:sz w:val="24"/>
          <w:szCs w:val="24"/>
          <w:lang w:eastAsia="ru-RU"/>
        </w:rPr>
        <w:t>летрозола</w:t>
      </w:r>
      <w:proofErr w:type="spellEnd"/>
      <w:r w:rsidRPr="007E6425">
        <w:rPr>
          <w:rFonts w:ascii="Times New Roman" w:eastAsia="Times New Roman" w:hAnsi="Times New Roman" w:cs="Times New Roman"/>
          <w:bCs/>
          <w:snapToGrid w:val="0"/>
          <w:sz w:val="24"/>
          <w:szCs w:val="24"/>
          <w:lang w:eastAsia="ru-RU"/>
        </w:rPr>
        <w:t>. Считается, что эти опухоли были связаны с фармакологической ингибицией синтеза эстрогена и связанным с этим повышением уровня гормона ЛГ.</w:t>
      </w:r>
    </w:p>
    <w:p w14:paraId="3A947D58"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bCs/>
          <w:snapToGrid w:val="0"/>
          <w:sz w:val="24"/>
          <w:szCs w:val="24"/>
          <w:lang w:eastAsia="ru-RU"/>
        </w:rPr>
      </w:pPr>
      <w:r w:rsidRPr="007E6425">
        <w:rPr>
          <w:rFonts w:ascii="Times New Roman" w:eastAsia="Times New Roman" w:hAnsi="Times New Roman" w:cs="Times New Roman"/>
          <w:bCs/>
          <w:snapToGrid w:val="0"/>
          <w:sz w:val="24"/>
          <w:szCs w:val="24"/>
          <w:lang w:eastAsia="ru-RU"/>
        </w:rPr>
        <w:t xml:space="preserve">В экспериментах на беременных крысах и кроликах наблюдался </w:t>
      </w:r>
      <w:proofErr w:type="spellStart"/>
      <w:r w:rsidRPr="007E6425">
        <w:rPr>
          <w:rFonts w:ascii="Times New Roman" w:eastAsia="Times New Roman" w:hAnsi="Times New Roman" w:cs="Times New Roman"/>
          <w:bCs/>
          <w:snapToGrid w:val="0"/>
          <w:sz w:val="24"/>
          <w:szCs w:val="24"/>
          <w:lang w:eastAsia="ru-RU"/>
        </w:rPr>
        <w:t>эмбриотоксический</w:t>
      </w:r>
      <w:proofErr w:type="spellEnd"/>
      <w:r w:rsidRPr="007E6425">
        <w:rPr>
          <w:rFonts w:ascii="Times New Roman" w:eastAsia="Times New Roman" w:hAnsi="Times New Roman" w:cs="Times New Roman"/>
          <w:bCs/>
          <w:snapToGrid w:val="0"/>
          <w:sz w:val="24"/>
          <w:szCs w:val="24"/>
          <w:lang w:eastAsia="ru-RU"/>
        </w:rPr>
        <w:t xml:space="preserve"> и </w:t>
      </w:r>
      <w:proofErr w:type="spellStart"/>
      <w:r w:rsidRPr="007E6425">
        <w:rPr>
          <w:rFonts w:ascii="Times New Roman" w:eastAsia="Times New Roman" w:hAnsi="Times New Roman" w:cs="Times New Roman"/>
          <w:bCs/>
          <w:snapToGrid w:val="0"/>
          <w:sz w:val="24"/>
          <w:szCs w:val="24"/>
          <w:lang w:eastAsia="ru-RU"/>
        </w:rPr>
        <w:t>фетотоксический</w:t>
      </w:r>
      <w:proofErr w:type="spellEnd"/>
      <w:r w:rsidRPr="007E6425">
        <w:rPr>
          <w:rFonts w:ascii="Times New Roman" w:eastAsia="Times New Roman" w:hAnsi="Times New Roman" w:cs="Times New Roman"/>
          <w:bCs/>
          <w:snapToGrid w:val="0"/>
          <w:sz w:val="24"/>
          <w:szCs w:val="24"/>
          <w:lang w:eastAsia="ru-RU"/>
        </w:rPr>
        <w:t xml:space="preserve"> эффект </w:t>
      </w:r>
      <w:proofErr w:type="spellStart"/>
      <w:r w:rsidRPr="007E6425">
        <w:rPr>
          <w:rFonts w:ascii="Times New Roman" w:eastAsia="Times New Roman" w:hAnsi="Times New Roman" w:cs="Times New Roman"/>
          <w:bCs/>
          <w:snapToGrid w:val="0"/>
          <w:sz w:val="24"/>
          <w:szCs w:val="24"/>
          <w:lang w:eastAsia="ru-RU"/>
        </w:rPr>
        <w:t>летрозола</w:t>
      </w:r>
      <w:proofErr w:type="spellEnd"/>
      <w:r w:rsidRPr="007E6425">
        <w:rPr>
          <w:rFonts w:ascii="Times New Roman" w:eastAsia="Times New Roman" w:hAnsi="Times New Roman" w:cs="Times New Roman"/>
          <w:bCs/>
          <w:snapToGrid w:val="0"/>
          <w:sz w:val="24"/>
          <w:szCs w:val="24"/>
          <w:lang w:eastAsia="ru-RU"/>
        </w:rPr>
        <w:t xml:space="preserve"> при пероральном введении в клинически значимых дозах. У крыс, имеющих живых плодов, наблюдалось повышение частоты пороков развития плода, включающих куполообразную голову и слияние шейных/центральных позвонков. У кроликов не наблюдалось повышения частоты пороков развития плода. Неизвестно, является ли это непрямым следствием фармакологических свойств (подавление биосинтеза эстрогенов) или непосредственным эффектом самого </w:t>
      </w:r>
      <w:proofErr w:type="spellStart"/>
      <w:r w:rsidRPr="007E6425">
        <w:rPr>
          <w:rFonts w:ascii="Times New Roman" w:eastAsia="Times New Roman" w:hAnsi="Times New Roman" w:cs="Times New Roman"/>
          <w:bCs/>
          <w:snapToGrid w:val="0"/>
          <w:sz w:val="24"/>
          <w:szCs w:val="24"/>
          <w:lang w:eastAsia="ru-RU"/>
        </w:rPr>
        <w:t>летрозола</w:t>
      </w:r>
      <w:proofErr w:type="spellEnd"/>
      <w:r w:rsidRPr="007E6425">
        <w:rPr>
          <w:rFonts w:ascii="Times New Roman" w:eastAsia="Times New Roman" w:hAnsi="Times New Roman" w:cs="Times New Roman"/>
          <w:bCs/>
          <w:snapToGrid w:val="0"/>
          <w:sz w:val="24"/>
          <w:szCs w:val="24"/>
          <w:lang w:eastAsia="ru-RU"/>
        </w:rPr>
        <w:t xml:space="preserve">.. </w:t>
      </w:r>
    </w:p>
    <w:p w14:paraId="6D995BE1" w14:textId="447FBBC5" w:rsid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bCs/>
          <w:snapToGrid w:val="0"/>
          <w:sz w:val="24"/>
          <w:szCs w:val="24"/>
          <w:lang w:eastAsia="ru-RU"/>
        </w:rPr>
      </w:pPr>
      <w:r w:rsidRPr="007E6425">
        <w:rPr>
          <w:rFonts w:ascii="Times New Roman" w:eastAsia="Times New Roman" w:hAnsi="Times New Roman" w:cs="Times New Roman"/>
          <w:bCs/>
          <w:snapToGrid w:val="0"/>
          <w:sz w:val="24"/>
          <w:szCs w:val="24"/>
          <w:lang w:eastAsia="ru-RU"/>
        </w:rPr>
        <w:t>Доклинические наблюдения проводились с целью выявления лишь признанных фармакологических эффектов, что является единственным поводом для беспокойства при распространении данных, полученных у животных, на человека.</w:t>
      </w:r>
    </w:p>
    <w:p w14:paraId="735355D2" w14:textId="77777777" w:rsidR="007E6425" w:rsidRPr="007E6425" w:rsidRDefault="007E6425" w:rsidP="00F602A1">
      <w:pPr>
        <w:autoSpaceDE w:val="0"/>
        <w:autoSpaceDN w:val="0"/>
        <w:adjustRightInd w:val="0"/>
        <w:spacing w:after="0" w:line="240" w:lineRule="auto"/>
        <w:ind w:right="283"/>
        <w:jc w:val="both"/>
        <w:rPr>
          <w:rFonts w:ascii="Times New Roman" w:eastAsia="Times New Roman" w:hAnsi="Times New Roman" w:cs="Times New Roman"/>
          <w:bCs/>
          <w:snapToGrid w:val="0"/>
          <w:sz w:val="24"/>
          <w:szCs w:val="24"/>
          <w:lang w:eastAsia="ru-RU"/>
        </w:rPr>
      </w:pPr>
    </w:p>
    <w:p w14:paraId="1CF69A94" w14:textId="77777777" w:rsidR="00AA5463" w:rsidRPr="00AA5463" w:rsidRDefault="00AA5463" w:rsidP="00F602A1">
      <w:pPr>
        <w:spacing w:after="0" w:line="240" w:lineRule="auto"/>
        <w:ind w:right="283"/>
        <w:jc w:val="both"/>
        <w:rPr>
          <w:rFonts w:ascii="Times New Roman" w:hAnsi="Times New Roman" w:cs="Times New Roman"/>
          <w:b/>
          <w:sz w:val="24"/>
          <w:szCs w:val="24"/>
        </w:rPr>
      </w:pPr>
      <w:r w:rsidRPr="00AA5463">
        <w:rPr>
          <w:rFonts w:ascii="Times New Roman" w:hAnsi="Times New Roman" w:cs="Times New Roman"/>
          <w:b/>
          <w:sz w:val="24"/>
          <w:szCs w:val="24"/>
        </w:rPr>
        <w:t>6. ФАРМАЦЕВТИЧЕСКИЕ СВОЙСТВА</w:t>
      </w:r>
    </w:p>
    <w:p w14:paraId="3B94D0EB" w14:textId="77777777" w:rsidR="00AA5463" w:rsidRPr="00AA5463" w:rsidRDefault="00AA5463" w:rsidP="00F602A1">
      <w:pPr>
        <w:spacing w:after="0" w:line="240" w:lineRule="auto"/>
        <w:ind w:right="283"/>
        <w:jc w:val="both"/>
        <w:rPr>
          <w:rFonts w:ascii="Times New Roman" w:hAnsi="Times New Roman" w:cs="Times New Roman"/>
          <w:b/>
          <w:sz w:val="24"/>
          <w:szCs w:val="24"/>
        </w:rPr>
      </w:pPr>
      <w:r w:rsidRPr="00AA5463">
        <w:rPr>
          <w:rFonts w:ascii="Times New Roman" w:hAnsi="Times New Roman" w:cs="Times New Roman"/>
          <w:b/>
          <w:sz w:val="24"/>
          <w:szCs w:val="24"/>
        </w:rPr>
        <w:t>6.1. Перечень вспомогательных веществ.</w:t>
      </w:r>
    </w:p>
    <w:p w14:paraId="0181BA6F" w14:textId="23DD0E38" w:rsidR="009139C2" w:rsidRDefault="00227F62" w:rsidP="00F602A1">
      <w:pPr>
        <w:spacing w:after="0" w:line="240" w:lineRule="auto"/>
        <w:ind w:right="283"/>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Л</w:t>
      </w:r>
      <w:r w:rsidRPr="00227F62">
        <w:rPr>
          <w:rFonts w:ascii="Times New Roman" w:eastAsia="Times New Roman" w:hAnsi="Times New Roman" w:cs="Times New Roman"/>
          <w:color w:val="000000"/>
          <w:sz w:val="24"/>
          <w:szCs w:val="24"/>
          <w:lang w:eastAsia="cs-CZ"/>
        </w:rPr>
        <w:t>актозы моногидрат</w:t>
      </w:r>
    </w:p>
    <w:p w14:paraId="2B3C731B" w14:textId="1160F3C4" w:rsidR="009139C2" w:rsidRDefault="00E137E5" w:rsidP="00F602A1">
      <w:pPr>
        <w:spacing w:after="0" w:line="240" w:lineRule="auto"/>
        <w:ind w:right="283"/>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ц</w:t>
      </w:r>
      <w:r w:rsidR="00227F62" w:rsidRPr="00227F62">
        <w:rPr>
          <w:rFonts w:ascii="Times New Roman" w:eastAsia="Times New Roman" w:hAnsi="Times New Roman" w:cs="Times New Roman"/>
          <w:color w:val="000000"/>
          <w:sz w:val="24"/>
          <w:szCs w:val="24"/>
          <w:lang w:eastAsia="cs-CZ"/>
        </w:rPr>
        <w:t>еллюлоза микрокристаллическая (класс 101)</w:t>
      </w:r>
    </w:p>
    <w:p w14:paraId="0408A437" w14:textId="2C9A4227" w:rsidR="009139C2" w:rsidRDefault="00E137E5" w:rsidP="00F602A1">
      <w:pPr>
        <w:spacing w:after="0" w:line="240" w:lineRule="auto"/>
        <w:ind w:right="283"/>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н</w:t>
      </w:r>
      <w:r w:rsidR="00227F62" w:rsidRPr="00227F62">
        <w:rPr>
          <w:rFonts w:ascii="Times New Roman" w:eastAsia="Times New Roman" w:hAnsi="Times New Roman" w:cs="Times New Roman"/>
          <w:color w:val="000000"/>
          <w:sz w:val="24"/>
          <w:szCs w:val="24"/>
          <w:lang w:eastAsia="cs-CZ"/>
        </w:rPr>
        <w:t xml:space="preserve">атрия крахмала </w:t>
      </w:r>
      <w:proofErr w:type="spellStart"/>
      <w:r w:rsidR="00227F62" w:rsidRPr="00227F62">
        <w:rPr>
          <w:rFonts w:ascii="Times New Roman" w:eastAsia="Times New Roman" w:hAnsi="Times New Roman" w:cs="Times New Roman"/>
          <w:color w:val="000000"/>
          <w:sz w:val="24"/>
          <w:szCs w:val="24"/>
          <w:lang w:eastAsia="cs-CZ"/>
        </w:rPr>
        <w:t>гликол</w:t>
      </w:r>
      <w:r w:rsidR="009139C2">
        <w:rPr>
          <w:rFonts w:ascii="Times New Roman" w:eastAsia="Times New Roman" w:hAnsi="Times New Roman" w:cs="Times New Roman"/>
          <w:color w:val="000000"/>
          <w:sz w:val="24"/>
          <w:szCs w:val="24"/>
          <w:lang w:eastAsia="cs-CZ"/>
        </w:rPr>
        <w:t>я</w:t>
      </w:r>
      <w:r w:rsidR="00227F62" w:rsidRPr="00227F62">
        <w:rPr>
          <w:rFonts w:ascii="Times New Roman" w:eastAsia="Times New Roman" w:hAnsi="Times New Roman" w:cs="Times New Roman"/>
          <w:color w:val="000000"/>
          <w:sz w:val="24"/>
          <w:szCs w:val="24"/>
          <w:lang w:eastAsia="cs-CZ"/>
        </w:rPr>
        <w:t>т</w:t>
      </w:r>
      <w:proofErr w:type="spellEnd"/>
      <w:r w:rsidR="00227F62" w:rsidRPr="00227F62">
        <w:rPr>
          <w:rFonts w:ascii="Times New Roman" w:eastAsia="Times New Roman" w:hAnsi="Times New Roman" w:cs="Times New Roman"/>
          <w:color w:val="000000"/>
          <w:sz w:val="24"/>
          <w:szCs w:val="24"/>
          <w:lang w:eastAsia="cs-CZ"/>
        </w:rPr>
        <w:t xml:space="preserve"> (тип А) </w:t>
      </w:r>
    </w:p>
    <w:p w14:paraId="6CA851E2" w14:textId="5B66AE0E" w:rsidR="001440E6" w:rsidRDefault="00E137E5" w:rsidP="00F602A1">
      <w:pPr>
        <w:spacing w:after="0" w:line="240" w:lineRule="auto"/>
        <w:ind w:right="283"/>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в</w:t>
      </w:r>
      <w:r w:rsidR="001440E6">
        <w:rPr>
          <w:rFonts w:ascii="Times New Roman" w:eastAsia="Times New Roman" w:hAnsi="Times New Roman" w:cs="Times New Roman"/>
          <w:color w:val="000000"/>
          <w:sz w:val="24"/>
          <w:szCs w:val="24"/>
          <w:lang w:eastAsia="cs-CZ"/>
        </w:rPr>
        <w:t>ода очищенная</w:t>
      </w:r>
    </w:p>
    <w:p w14:paraId="1E6CF12D" w14:textId="0D7088D2" w:rsidR="009139C2" w:rsidRDefault="00E137E5" w:rsidP="00F602A1">
      <w:pPr>
        <w:spacing w:after="0" w:line="240" w:lineRule="auto"/>
        <w:ind w:right="283"/>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к</w:t>
      </w:r>
      <w:r w:rsidR="00227F62" w:rsidRPr="00227F62">
        <w:rPr>
          <w:rFonts w:ascii="Times New Roman" w:eastAsia="Times New Roman" w:hAnsi="Times New Roman" w:cs="Times New Roman"/>
          <w:color w:val="000000"/>
          <w:sz w:val="24"/>
          <w:szCs w:val="24"/>
          <w:lang w:eastAsia="cs-CZ"/>
        </w:rPr>
        <w:t>рахмал кукурузный</w:t>
      </w:r>
    </w:p>
    <w:p w14:paraId="33F56367" w14:textId="25B8F114" w:rsidR="009139C2" w:rsidRDefault="00E137E5" w:rsidP="00F602A1">
      <w:pPr>
        <w:spacing w:after="0" w:line="240" w:lineRule="auto"/>
        <w:ind w:right="283"/>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к</w:t>
      </w:r>
      <w:r w:rsidR="00227F62" w:rsidRPr="00227F62">
        <w:rPr>
          <w:rFonts w:ascii="Times New Roman" w:eastAsia="Times New Roman" w:hAnsi="Times New Roman" w:cs="Times New Roman"/>
          <w:color w:val="000000"/>
          <w:sz w:val="24"/>
          <w:szCs w:val="24"/>
          <w:lang w:eastAsia="cs-CZ"/>
        </w:rPr>
        <w:t>ремния диоксид коллоидный безводный</w:t>
      </w:r>
    </w:p>
    <w:p w14:paraId="571FA734" w14:textId="3FCC3B42" w:rsidR="00227F62" w:rsidRPr="00227F62" w:rsidRDefault="00E137E5" w:rsidP="00F602A1">
      <w:pPr>
        <w:spacing w:after="0" w:line="240" w:lineRule="auto"/>
        <w:ind w:right="283"/>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м</w:t>
      </w:r>
      <w:r w:rsidR="00227F62" w:rsidRPr="00227F62">
        <w:rPr>
          <w:rFonts w:ascii="Times New Roman" w:eastAsia="Times New Roman" w:hAnsi="Times New Roman" w:cs="Times New Roman"/>
          <w:color w:val="000000"/>
          <w:sz w:val="24"/>
          <w:szCs w:val="24"/>
          <w:lang w:eastAsia="cs-CZ"/>
        </w:rPr>
        <w:t xml:space="preserve">агния </w:t>
      </w:r>
      <w:proofErr w:type="spellStart"/>
      <w:r w:rsidR="00227F62" w:rsidRPr="00227F62">
        <w:rPr>
          <w:rFonts w:ascii="Times New Roman" w:eastAsia="Times New Roman" w:hAnsi="Times New Roman" w:cs="Times New Roman"/>
          <w:color w:val="000000"/>
          <w:sz w:val="24"/>
          <w:szCs w:val="24"/>
          <w:lang w:eastAsia="cs-CZ"/>
        </w:rPr>
        <w:t>стеарат</w:t>
      </w:r>
      <w:proofErr w:type="spellEnd"/>
    </w:p>
    <w:p w14:paraId="01866224" w14:textId="7E56EE10" w:rsidR="009139C2" w:rsidRPr="00E137E5" w:rsidRDefault="00E137E5" w:rsidP="00F602A1">
      <w:pPr>
        <w:spacing w:after="0" w:line="240" w:lineRule="auto"/>
        <w:ind w:right="283"/>
        <w:jc w:val="both"/>
        <w:rPr>
          <w:rFonts w:ascii="Times New Roman" w:hAnsi="Times New Roman" w:cs="Times New Roman"/>
          <w:i/>
          <w:sz w:val="24"/>
          <w:szCs w:val="24"/>
        </w:rPr>
      </w:pPr>
      <w:r>
        <w:rPr>
          <w:rFonts w:ascii="Times New Roman" w:hAnsi="Times New Roman" w:cs="Times New Roman"/>
          <w:i/>
          <w:sz w:val="24"/>
          <w:szCs w:val="24"/>
        </w:rPr>
        <w:t>о</w:t>
      </w:r>
      <w:r w:rsidR="009139C2">
        <w:rPr>
          <w:rFonts w:ascii="Times New Roman" w:hAnsi="Times New Roman" w:cs="Times New Roman"/>
          <w:i/>
          <w:sz w:val="24"/>
          <w:szCs w:val="24"/>
        </w:rPr>
        <w:t>болочка</w:t>
      </w:r>
      <w:r>
        <w:rPr>
          <w:rFonts w:ascii="Times New Roman" w:hAnsi="Times New Roman" w:cs="Times New Roman"/>
          <w:i/>
          <w:sz w:val="24"/>
          <w:szCs w:val="24"/>
        </w:rPr>
        <w:t xml:space="preserve"> </w:t>
      </w:r>
      <w:proofErr w:type="spellStart"/>
      <w:r w:rsidR="00227F62">
        <w:rPr>
          <w:rFonts w:ascii="Times New Roman" w:hAnsi="Times New Roman" w:cs="Times New Roman"/>
          <w:i/>
          <w:sz w:val="24"/>
          <w:szCs w:val="24"/>
        </w:rPr>
        <w:t>Опадрай</w:t>
      </w:r>
      <w:proofErr w:type="spellEnd"/>
      <w:r w:rsidR="00227F62">
        <w:rPr>
          <w:rFonts w:ascii="Times New Roman" w:hAnsi="Times New Roman" w:cs="Times New Roman"/>
          <w:i/>
          <w:sz w:val="24"/>
          <w:szCs w:val="24"/>
        </w:rPr>
        <w:t xml:space="preserve"> желтый 03F520312</w:t>
      </w:r>
      <w:r>
        <w:rPr>
          <w:rFonts w:ascii="Times New Roman" w:hAnsi="Times New Roman" w:cs="Times New Roman"/>
          <w:i/>
          <w:sz w:val="24"/>
          <w:szCs w:val="24"/>
        </w:rPr>
        <w:t>:</w:t>
      </w:r>
      <w:r w:rsidR="00227F62">
        <w:rPr>
          <w:rFonts w:ascii="Times New Roman" w:hAnsi="Times New Roman" w:cs="Times New Roman"/>
          <w:i/>
          <w:sz w:val="24"/>
          <w:szCs w:val="24"/>
        </w:rPr>
        <w:t xml:space="preserve"> </w:t>
      </w:r>
    </w:p>
    <w:p w14:paraId="265C1F47" w14:textId="20F56D6B" w:rsidR="009139C2" w:rsidRDefault="00E137E5" w:rsidP="00F602A1">
      <w:pPr>
        <w:spacing w:after="0" w:line="240" w:lineRule="auto"/>
        <w:ind w:right="283"/>
        <w:jc w:val="both"/>
        <w:rPr>
          <w:rFonts w:ascii="Times New Roman" w:hAnsi="Times New Roman" w:cs="Times New Roman"/>
          <w:sz w:val="24"/>
          <w:szCs w:val="24"/>
        </w:rPr>
      </w:pPr>
      <w:proofErr w:type="spellStart"/>
      <w:r>
        <w:rPr>
          <w:rFonts w:ascii="Times New Roman" w:hAnsi="Times New Roman" w:cs="Times New Roman"/>
          <w:sz w:val="24"/>
          <w:szCs w:val="24"/>
        </w:rPr>
        <w:t>г</w:t>
      </w:r>
      <w:r w:rsidR="00227F62" w:rsidRPr="00227F62">
        <w:rPr>
          <w:rFonts w:ascii="Times New Roman" w:hAnsi="Times New Roman" w:cs="Times New Roman"/>
          <w:sz w:val="24"/>
          <w:szCs w:val="24"/>
        </w:rPr>
        <w:t>ипромеллоза</w:t>
      </w:r>
      <w:proofErr w:type="spellEnd"/>
      <w:r w:rsidR="001440E6">
        <w:rPr>
          <w:rFonts w:ascii="Times New Roman" w:hAnsi="Times New Roman" w:cs="Times New Roman"/>
          <w:sz w:val="24"/>
          <w:szCs w:val="24"/>
        </w:rPr>
        <w:t xml:space="preserve"> 2910 (Е464)</w:t>
      </w:r>
      <w:r w:rsidR="00227F62" w:rsidRPr="00227F62">
        <w:rPr>
          <w:rFonts w:ascii="Times New Roman" w:hAnsi="Times New Roman" w:cs="Times New Roman"/>
          <w:sz w:val="24"/>
          <w:szCs w:val="24"/>
        </w:rPr>
        <w:t xml:space="preserve"> </w:t>
      </w:r>
    </w:p>
    <w:p w14:paraId="1BE040B8" w14:textId="1EEB7A01" w:rsidR="001440E6" w:rsidRDefault="00E137E5" w:rsidP="00F602A1">
      <w:pPr>
        <w:spacing w:after="0" w:line="240" w:lineRule="auto"/>
        <w:ind w:right="283"/>
        <w:jc w:val="both"/>
        <w:rPr>
          <w:rFonts w:ascii="Times New Roman" w:hAnsi="Times New Roman" w:cs="Times New Roman"/>
          <w:sz w:val="24"/>
          <w:szCs w:val="24"/>
        </w:rPr>
      </w:pPr>
      <w:r>
        <w:rPr>
          <w:rFonts w:ascii="Times New Roman" w:hAnsi="Times New Roman" w:cs="Times New Roman"/>
          <w:sz w:val="24"/>
          <w:szCs w:val="24"/>
        </w:rPr>
        <w:t>ж</w:t>
      </w:r>
      <w:r w:rsidR="001440E6" w:rsidRPr="00227F62">
        <w:rPr>
          <w:rFonts w:ascii="Times New Roman" w:hAnsi="Times New Roman" w:cs="Times New Roman"/>
          <w:sz w:val="24"/>
          <w:szCs w:val="24"/>
        </w:rPr>
        <w:t>елеза</w:t>
      </w:r>
      <w:r w:rsidR="001440E6">
        <w:rPr>
          <w:rFonts w:ascii="Times New Roman" w:hAnsi="Times New Roman" w:cs="Times New Roman"/>
          <w:sz w:val="24"/>
          <w:szCs w:val="24"/>
        </w:rPr>
        <w:t xml:space="preserve"> (</w:t>
      </w:r>
      <w:r w:rsidR="001440E6">
        <w:rPr>
          <w:rFonts w:ascii="Times New Roman" w:hAnsi="Times New Roman" w:cs="Times New Roman"/>
          <w:sz w:val="24"/>
          <w:szCs w:val="24"/>
          <w:lang w:val="en-US"/>
        </w:rPr>
        <w:t>III</w:t>
      </w:r>
      <w:r w:rsidR="001440E6" w:rsidRPr="001440E6">
        <w:rPr>
          <w:rFonts w:ascii="Times New Roman" w:hAnsi="Times New Roman" w:cs="Times New Roman"/>
          <w:sz w:val="24"/>
          <w:szCs w:val="24"/>
        </w:rPr>
        <w:t>)</w:t>
      </w:r>
      <w:r w:rsidR="001440E6" w:rsidRPr="00227F62">
        <w:rPr>
          <w:rFonts w:ascii="Times New Roman" w:hAnsi="Times New Roman" w:cs="Times New Roman"/>
          <w:sz w:val="24"/>
          <w:szCs w:val="24"/>
        </w:rPr>
        <w:t xml:space="preserve"> оксид желтый (Е172)</w:t>
      </w:r>
    </w:p>
    <w:p w14:paraId="2B9AF84E" w14:textId="000ADCDE" w:rsidR="009139C2" w:rsidRDefault="00E137E5" w:rsidP="00F602A1">
      <w:pPr>
        <w:spacing w:after="0" w:line="240" w:lineRule="auto"/>
        <w:ind w:right="283"/>
        <w:jc w:val="both"/>
        <w:rPr>
          <w:rFonts w:ascii="Times New Roman" w:hAnsi="Times New Roman" w:cs="Times New Roman"/>
          <w:sz w:val="24"/>
          <w:szCs w:val="24"/>
        </w:rPr>
      </w:pPr>
      <w:r>
        <w:rPr>
          <w:rFonts w:ascii="Times New Roman" w:hAnsi="Times New Roman" w:cs="Times New Roman"/>
          <w:sz w:val="24"/>
          <w:szCs w:val="24"/>
        </w:rPr>
        <w:t>т</w:t>
      </w:r>
      <w:r w:rsidR="00227F62" w:rsidRPr="00227F62">
        <w:rPr>
          <w:rFonts w:ascii="Times New Roman" w:hAnsi="Times New Roman" w:cs="Times New Roman"/>
          <w:sz w:val="24"/>
          <w:szCs w:val="24"/>
        </w:rPr>
        <w:t xml:space="preserve">итана диоксид (Е171) </w:t>
      </w:r>
    </w:p>
    <w:p w14:paraId="4A129087" w14:textId="7D14A1FA" w:rsidR="001440E6" w:rsidRPr="002502B6" w:rsidRDefault="00E137E5" w:rsidP="00F602A1">
      <w:pPr>
        <w:spacing w:after="0" w:line="240" w:lineRule="auto"/>
        <w:ind w:right="283"/>
        <w:jc w:val="both"/>
        <w:rPr>
          <w:rFonts w:ascii="Times New Roman" w:hAnsi="Times New Roman" w:cs="Times New Roman"/>
          <w:sz w:val="24"/>
          <w:szCs w:val="24"/>
        </w:rPr>
      </w:pPr>
      <w:proofErr w:type="spellStart"/>
      <w:r>
        <w:rPr>
          <w:rFonts w:ascii="Times New Roman" w:hAnsi="Times New Roman" w:cs="Times New Roman"/>
          <w:sz w:val="24"/>
          <w:szCs w:val="24"/>
        </w:rPr>
        <w:t>м</w:t>
      </w:r>
      <w:r w:rsidR="00227F62" w:rsidRPr="00227F62">
        <w:rPr>
          <w:rFonts w:ascii="Times New Roman" w:hAnsi="Times New Roman" w:cs="Times New Roman"/>
          <w:sz w:val="24"/>
          <w:szCs w:val="24"/>
        </w:rPr>
        <w:t>акрогол</w:t>
      </w:r>
      <w:proofErr w:type="spellEnd"/>
      <w:r w:rsidR="00227F62" w:rsidRPr="00227F62">
        <w:rPr>
          <w:rFonts w:ascii="Times New Roman" w:hAnsi="Times New Roman" w:cs="Times New Roman"/>
          <w:sz w:val="24"/>
          <w:szCs w:val="24"/>
        </w:rPr>
        <w:t>/</w:t>
      </w:r>
      <w:proofErr w:type="spellStart"/>
      <w:r w:rsidR="00227F62" w:rsidRPr="00227F62">
        <w:rPr>
          <w:rFonts w:ascii="Times New Roman" w:hAnsi="Times New Roman" w:cs="Times New Roman"/>
          <w:sz w:val="24"/>
          <w:szCs w:val="24"/>
        </w:rPr>
        <w:t>полиэтиленгликоль</w:t>
      </w:r>
      <w:proofErr w:type="spellEnd"/>
      <w:r w:rsidR="001440E6" w:rsidRPr="002502B6">
        <w:rPr>
          <w:rFonts w:ascii="Times New Roman" w:hAnsi="Times New Roman" w:cs="Times New Roman"/>
          <w:sz w:val="24"/>
          <w:szCs w:val="24"/>
        </w:rPr>
        <w:t xml:space="preserve"> (</w:t>
      </w:r>
      <w:r w:rsidR="001440E6">
        <w:rPr>
          <w:rFonts w:ascii="Times New Roman" w:hAnsi="Times New Roman" w:cs="Times New Roman"/>
          <w:sz w:val="24"/>
          <w:szCs w:val="24"/>
          <w:lang w:val="en-US"/>
        </w:rPr>
        <w:t>E</w:t>
      </w:r>
      <w:r w:rsidR="001440E6" w:rsidRPr="002502B6">
        <w:rPr>
          <w:rFonts w:ascii="Times New Roman" w:hAnsi="Times New Roman" w:cs="Times New Roman"/>
          <w:sz w:val="24"/>
          <w:szCs w:val="24"/>
        </w:rPr>
        <w:t>1521)</w:t>
      </w:r>
    </w:p>
    <w:p w14:paraId="775001B0" w14:textId="77777777" w:rsidR="0032527D" w:rsidRDefault="00E137E5" w:rsidP="00F602A1">
      <w:pPr>
        <w:spacing w:after="0" w:line="240" w:lineRule="auto"/>
        <w:ind w:right="283"/>
        <w:jc w:val="both"/>
        <w:rPr>
          <w:rFonts w:ascii="Times New Roman" w:hAnsi="Times New Roman" w:cs="Times New Roman"/>
          <w:sz w:val="24"/>
          <w:szCs w:val="24"/>
        </w:rPr>
      </w:pPr>
      <w:r>
        <w:rPr>
          <w:rFonts w:ascii="Times New Roman" w:hAnsi="Times New Roman" w:cs="Times New Roman"/>
          <w:sz w:val="24"/>
          <w:szCs w:val="24"/>
        </w:rPr>
        <w:t>т</w:t>
      </w:r>
      <w:r w:rsidR="001440E6" w:rsidRPr="00227F62">
        <w:rPr>
          <w:rFonts w:ascii="Times New Roman" w:hAnsi="Times New Roman" w:cs="Times New Roman"/>
          <w:sz w:val="24"/>
          <w:szCs w:val="24"/>
        </w:rPr>
        <w:t>альк</w:t>
      </w:r>
      <w:r w:rsidR="001440E6" w:rsidRPr="002502B6">
        <w:rPr>
          <w:rFonts w:ascii="Times New Roman" w:hAnsi="Times New Roman" w:cs="Times New Roman"/>
          <w:sz w:val="24"/>
          <w:szCs w:val="24"/>
        </w:rPr>
        <w:t xml:space="preserve"> (</w:t>
      </w:r>
      <w:r w:rsidR="001440E6">
        <w:rPr>
          <w:rFonts w:ascii="Times New Roman" w:hAnsi="Times New Roman" w:cs="Times New Roman"/>
          <w:sz w:val="24"/>
          <w:szCs w:val="24"/>
          <w:lang w:val="en-US"/>
        </w:rPr>
        <w:t>E</w:t>
      </w:r>
      <w:r w:rsidR="001440E6" w:rsidRPr="002502B6">
        <w:rPr>
          <w:rFonts w:ascii="Times New Roman" w:hAnsi="Times New Roman" w:cs="Times New Roman"/>
          <w:sz w:val="24"/>
          <w:szCs w:val="24"/>
        </w:rPr>
        <w:t>553</w:t>
      </w:r>
      <w:r w:rsidR="001440E6">
        <w:rPr>
          <w:rFonts w:ascii="Times New Roman" w:hAnsi="Times New Roman" w:cs="Times New Roman"/>
          <w:sz w:val="24"/>
          <w:szCs w:val="24"/>
          <w:lang w:val="en-US"/>
        </w:rPr>
        <w:t>b</w:t>
      </w:r>
      <w:r w:rsidR="001440E6" w:rsidRPr="002502B6">
        <w:rPr>
          <w:rFonts w:ascii="Times New Roman" w:hAnsi="Times New Roman" w:cs="Times New Roman"/>
          <w:sz w:val="24"/>
          <w:szCs w:val="24"/>
        </w:rPr>
        <w:t>)</w:t>
      </w:r>
    </w:p>
    <w:p w14:paraId="68C48C73" w14:textId="535DC0CF" w:rsidR="00E137E5" w:rsidRDefault="00E137E5" w:rsidP="00F602A1">
      <w:pPr>
        <w:spacing w:after="0" w:line="240" w:lineRule="auto"/>
        <w:ind w:right="283"/>
        <w:jc w:val="both"/>
        <w:rPr>
          <w:rFonts w:ascii="Times New Roman" w:hAnsi="Times New Roman" w:cs="Times New Roman"/>
          <w:sz w:val="24"/>
          <w:szCs w:val="24"/>
        </w:rPr>
      </w:pPr>
      <w:r>
        <w:rPr>
          <w:rFonts w:ascii="Times New Roman" w:hAnsi="Times New Roman" w:cs="Times New Roman"/>
          <w:sz w:val="24"/>
          <w:szCs w:val="24"/>
        </w:rPr>
        <w:lastRenderedPageBreak/>
        <w:t>вода очищенная</w:t>
      </w:r>
    </w:p>
    <w:p w14:paraId="4EBAB96A" w14:textId="77777777" w:rsidR="0032527D" w:rsidRPr="001440E6" w:rsidRDefault="0032527D" w:rsidP="00F602A1">
      <w:pPr>
        <w:spacing w:after="0" w:line="240" w:lineRule="auto"/>
        <w:ind w:right="283"/>
        <w:jc w:val="both"/>
        <w:rPr>
          <w:rFonts w:ascii="Times New Roman" w:hAnsi="Times New Roman" w:cs="Times New Roman"/>
          <w:sz w:val="24"/>
          <w:szCs w:val="24"/>
        </w:rPr>
      </w:pPr>
    </w:p>
    <w:p w14:paraId="62FA1586" w14:textId="6C67E6C8" w:rsidR="00A72229" w:rsidRPr="00C44B65" w:rsidRDefault="00A72229" w:rsidP="00F602A1">
      <w:pPr>
        <w:spacing w:after="0" w:line="240" w:lineRule="auto"/>
        <w:ind w:right="283"/>
        <w:jc w:val="both"/>
        <w:rPr>
          <w:rFonts w:ascii="Times New Roman" w:hAnsi="Times New Roman" w:cs="Times New Roman"/>
          <w:b/>
          <w:sz w:val="24"/>
          <w:szCs w:val="24"/>
        </w:rPr>
      </w:pPr>
      <w:r w:rsidRPr="00C44B65">
        <w:rPr>
          <w:rFonts w:ascii="Times New Roman" w:hAnsi="Times New Roman" w:cs="Times New Roman"/>
          <w:b/>
          <w:sz w:val="24"/>
          <w:szCs w:val="24"/>
        </w:rPr>
        <w:t>6.2 Несовместимость</w:t>
      </w:r>
    </w:p>
    <w:p w14:paraId="2F18A1F4" w14:textId="6A9AF238" w:rsidR="00A72229" w:rsidRDefault="00A72229" w:rsidP="00F602A1">
      <w:pPr>
        <w:spacing w:after="0" w:line="240" w:lineRule="auto"/>
        <w:ind w:right="283"/>
        <w:jc w:val="both"/>
        <w:rPr>
          <w:rFonts w:ascii="Times New Roman" w:hAnsi="Times New Roman" w:cs="Times New Roman"/>
          <w:sz w:val="24"/>
          <w:szCs w:val="24"/>
        </w:rPr>
      </w:pPr>
      <w:r w:rsidRPr="00BD7305">
        <w:rPr>
          <w:rFonts w:ascii="Times New Roman" w:hAnsi="Times New Roman" w:cs="Times New Roman"/>
          <w:sz w:val="24"/>
          <w:szCs w:val="24"/>
        </w:rPr>
        <w:t>Не известно</w:t>
      </w:r>
    </w:p>
    <w:p w14:paraId="70182D9E" w14:textId="77777777" w:rsidR="0032527D" w:rsidRPr="00BD7305" w:rsidRDefault="0032527D" w:rsidP="00F602A1">
      <w:pPr>
        <w:spacing w:after="0" w:line="240" w:lineRule="auto"/>
        <w:ind w:right="283"/>
        <w:jc w:val="both"/>
        <w:rPr>
          <w:rFonts w:ascii="Times New Roman" w:hAnsi="Times New Roman" w:cs="Times New Roman"/>
          <w:sz w:val="24"/>
          <w:szCs w:val="24"/>
        </w:rPr>
      </w:pPr>
    </w:p>
    <w:p w14:paraId="5F09D32C" w14:textId="690D673D" w:rsidR="00A72229" w:rsidRPr="00C44B65" w:rsidRDefault="00A72229" w:rsidP="00F602A1">
      <w:pPr>
        <w:spacing w:after="0" w:line="240" w:lineRule="auto"/>
        <w:ind w:right="283"/>
        <w:jc w:val="both"/>
        <w:rPr>
          <w:rFonts w:ascii="Times New Roman" w:hAnsi="Times New Roman" w:cs="Times New Roman"/>
          <w:b/>
          <w:sz w:val="24"/>
          <w:szCs w:val="24"/>
        </w:rPr>
      </w:pPr>
      <w:r w:rsidRPr="00C44B65">
        <w:rPr>
          <w:rFonts w:ascii="Times New Roman" w:hAnsi="Times New Roman" w:cs="Times New Roman"/>
          <w:b/>
          <w:sz w:val="24"/>
          <w:szCs w:val="24"/>
        </w:rPr>
        <w:t>6.3 Срок годности</w:t>
      </w:r>
    </w:p>
    <w:p w14:paraId="16F72E68" w14:textId="5E21ADC1" w:rsidR="00A72229" w:rsidRDefault="00B96F6C" w:rsidP="00F602A1">
      <w:pPr>
        <w:spacing w:after="0" w:line="240" w:lineRule="auto"/>
        <w:ind w:right="283"/>
        <w:jc w:val="both"/>
        <w:rPr>
          <w:rFonts w:ascii="Times New Roman" w:hAnsi="Times New Roman" w:cs="Times New Roman"/>
          <w:sz w:val="24"/>
          <w:szCs w:val="24"/>
        </w:rPr>
      </w:pPr>
      <w:r>
        <w:rPr>
          <w:rFonts w:ascii="Times New Roman" w:hAnsi="Times New Roman" w:cs="Times New Roman"/>
          <w:sz w:val="24"/>
          <w:szCs w:val="24"/>
        </w:rPr>
        <w:t>2</w:t>
      </w:r>
      <w:r w:rsidR="00A72229" w:rsidRPr="00BD7305">
        <w:rPr>
          <w:rFonts w:ascii="Times New Roman" w:hAnsi="Times New Roman" w:cs="Times New Roman"/>
          <w:sz w:val="24"/>
          <w:szCs w:val="24"/>
        </w:rPr>
        <w:t xml:space="preserve"> года</w:t>
      </w:r>
    </w:p>
    <w:p w14:paraId="4D13AFE3" w14:textId="12EF7C6B" w:rsidR="009139C2" w:rsidRDefault="009139C2" w:rsidP="00F602A1">
      <w:pPr>
        <w:spacing w:after="0" w:line="240" w:lineRule="auto"/>
        <w:ind w:right="283"/>
        <w:jc w:val="both"/>
        <w:rPr>
          <w:rFonts w:ascii="Times New Roman" w:hAnsi="Times New Roman" w:cs="Times New Roman"/>
          <w:sz w:val="24"/>
          <w:szCs w:val="24"/>
        </w:rPr>
      </w:pPr>
      <w:r w:rsidRPr="009139C2">
        <w:rPr>
          <w:rFonts w:ascii="Times New Roman" w:hAnsi="Times New Roman" w:cs="Times New Roman"/>
          <w:sz w:val="24"/>
          <w:szCs w:val="24"/>
        </w:rPr>
        <w:t>Не применять по истечении срока годности!</w:t>
      </w:r>
    </w:p>
    <w:p w14:paraId="0884BEE9" w14:textId="77777777" w:rsidR="0032527D" w:rsidRPr="00BD7305" w:rsidRDefault="0032527D" w:rsidP="00F602A1">
      <w:pPr>
        <w:spacing w:after="0" w:line="240" w:lineRule="auto"/>
        <w:ind w:right="283"/>
        <w:jc w:val="both"/>
        <w:rPr>
          <w:rFonts w:ascii="Times New Roman" w:hAnsi="Times New Roman" w:cs="Times New Roman"/>
          <w:sz w:val="24"/>
          <w:szCs w:val="24"/>
        </w:rPr>
      </w:pPr>
    </w:p>
    <w:p w14:paraId="23BC0315" w14:textId="6B1633CA" w:rsidR="00A72229" w:rsidRPr="00C44B65" w:rsidRDefault="00A72229" w:rsidP="00F602A1">
      <w:pPr>
        <w:spacing w:after="0" w:line="240" w:lineRule="auto"/>
        <w:ind w:right="283"/>
        <w:jc w:val="both"/>
        <w:rPr>
          <w:rFonts w:ascii="Times New Roman" w:hAnsi="Times New Roman" w:cs="Times New Roman"/>
          <w:b/>
          <w:sz w:val="24"/>
          <w:szCs w:val="24"/>
        </w:rPr>
      </w:pPr>
      <w:r w:rsidRPr="00C44B65">
        <w:rPr>
          <w:rFonts w:ascii="Times New Roman" w:hAnsi="Times New Roman" w:cs="Times New Roman"/>
          <w:b/>
          <w:sz w:val="24"/>
          <w:szCs w:val="24"/>
        </w:rPr>
        <w:t>6.4 Особые меры предосторожности при хранении.</w:t>
      </w:r>
    </w:p>
    <w:p w14:paraId="7ECEF20D" w14:textId="7D870923" w:rsidR="00A72229" w:rsidRDefault="00A72229" w:rsidP="00F602A1">
      <w:pPr>
        <w:spacing w:after="0" w:line="240" w:lineRule="auto"/>
        <w:ind w:right="283"/>
        <w:jc w:val="both"/>
        <w:rPr>
          <w:rFonts w:ascii="Times New Roman" w:hAnsi="Times New Roman" w:cs="Times New Roman"/>
          <w:sz w:val="24"/>
          <w:szCs w:val="24"/>
        </w:rPr>
      </w:pPr>
      <w:r w:rsidRPr="00BD7305">
        <w:rPr>
          <w:rFonts w:ascii="Times New Roman" w:hAnsi="Times New Roman" w:cs="Times New Roman"/>
          <w:sz w:val="24"/>
          <w:szCs w:val="24"/>
        </w:rPr>
        <w:t xml:space="preserve">Хранить в сухом, защищенном от света месте при температуре не выше </w:t>
      </w:r>
      <w:r w:rsidR="00D2597F" w:rsidRPr="00BD7305">
        <w:rPr>
          <w:rFonts w:ascii="Times New Roman" w:hAnsi="Times New Roman" w:cs="Times New Roman"/>
          <w:sz w:val="24"/>
          <w:szCs w:val="24"/>
        </w:rPr>
        <w:t>25</w:t>
      </w:r>
      <w:r w:rsidR="007B1478" w:rsidRPr="007B1478">
        <w:rPr>
          <w:rFonts w:ascii="Times New Roman" w:hAnsi="Times New Roman" w:cs="Times New Roman"/>
          <w:sz w:val="24"/>
          <w:szCs w:val="24"/>
          <w:vertAlign w:val="superscript"/>
        </w:rPr>
        <w:t>о</w:t>
      </w:r>
      <w:r w:rsidRPr="00BD7305">
        <w:rPr>
          <w:rFonts w:ascii="Times New Roman" w:hAnsi="Times New Roman" w:cs="Times New Roman"/>
          <w:sz w:val="24"/>
          <w:szCs w:val="24"/>
        </w:rPr>
        <w:t>С.</w:t>
      </w:r>
    </w:p>
    <w:p w14:paraId="704ED635" w14:textId="13D9769F" w:rsidR="009139C2" w:rsidRDefault="009139C2" w:rsidP="00F602A1">
      <w:pPr>
        <w:spacing w:after="0" w:line="240" w:lineRule="auto"/>
        <w:ind w:right="283"/>
        <w:jc w:val="both"/>
        <w:rPr>
          <w:rFonts w:ascii="Times New Roman" w:hAnsi="Times New Roman" w:cs="Times New Roman"/>
          <w:sz w:val="24"/>
          <w:szCs w:val="24"/>
        </w:rPr>
      </w:pPr>
      <w:r w:rsidRPr="009139C2">
        <w:rPr>
          <w:rFonts w:ascii="Times New Roman" w:hAnsi="Times New Roman" w:cs="Times New Roman"/>
          <w:sz w:val="24"/>
          <w:szCs w:val="24"/>
        </w:rPr>
        <w:t>Хранить в недоступном для детей месте!</w:t>
      </w:r>
    </w:p>
    <w:p w14:paraId="18A87DD1" w14:textId="77777777" w:rsidR="0032527D" w:rsidRPr="00BD7305" w:rsidRDefault="0032527D" w:rsidP="00F602A1">
      <w:pPr>
        <w:spacing w:after="0" w:line="240" w:lineRule="auto"/>
        <w:ind w:right="283"/>
        <w:jc w:val="both"/>
        <w:rPr>
          <w:rFonts w:ascii="Times New Roman" w:hAnsi="Times New Roman" w:cs="Times New Roman"/>
          <w:sz w:val="24"/>
          <w:szCs w:val="24"/>
        </w:rPr>
      </w:pPr>
    </w:p>
    <w:p w14:paraId="6428CA1E" w14:textId="4DCDAE04" w:rsidR="00A72229" w:rsidRPr="00C44B65" w:rsidRDefault="00A72229" w:rsidP="00F602A1">
      <w:pPr>
        <w:spacing w:after="0" w:line="240" w:lineRule="auto"/>
        <w:ind w:right="283"/>
        <w:jc w:val="both"/>
        <w:rPr>
          <w:rFonts w:ascii="Times New Roman" w:hAnsi="Times New Roman" w:cs="Times New Roman"/>
          <w:b/>
          <w:sz w:val="24"/>
          <w:szCs w:val="24"/>
        </w:rPr>
      </w:pPr>
      <w:r w:rsidRPr="00C44B65">
        <w:rPr>
          <w:rFonts w:ascii="Times New Roman" w:hAnsi="Times New Roman" w:cs="Times New Roman"/>
          <w:b/>
          <w:sz w:val="24"/>
          <w:szCs w:val="24"/>
        </w:rPr>
        <w:t>6.5 </w:t>
      </w:r>
      <w:r w:rsidR="00F65B02">
        <w:rPr>
          <w:rFonts w:ascii="Times New Roman" w:hAnsi="Times New Roman" w:cs="Times New Roman"/>
          <w:b/>
          <w:sz w:val="24"/>
          <w:szCs w:val="24"/>
        </w:rPr>
        <w:t>Форма выпуска и упаковка</w:t>
      </w:r>
    </w:p>
    <w:p w14:paraId="0BDEC23C" w14:textId="77777777" w:rsidR="00BA22F1" w:rsidRPr="00BA22F1" w:rsidRDefault="00BA22F1" w:rsidP="00F602A1">
      <w:pPr>
        <w:spacing w:after="0" w:line="240" w:lineRule="auto"/>
        <w:ind w:right="283"/>
        <w:jc w:val="both"/>
        <w:rPr>
          <w:rFonts w:ascii="Times New Roman" w:hAnsi="Times New Roman" w:cs="Times New Roman"/>
          <w:bCs/>
          <w:sz w:val="24"/>
          <w:szCs w:val="24"/>
        </w:rPr>
      </w:pPr>
      <w:r w:rsidRPr="00BA22F1">
        <w:rPr>
          <w:rFonts w:ascii="Times New Roman" w:hAnsi="Times New Roman" w:cs="Times New Roman"/>
          <w:bCs/>
          <w:sz w:val="24"/>
          <w:szCs w:val="24"/>
        </w:rPr>
        <w:t xml:space="preserve">По 30 таблеток помещают в полиэтиленовый контейнер высокой плотности. </w:t>
      </w:r>
    </w:p>
    <w:p w14:paraId="7BCE2965" w14:textId="00437036" w:rsidR="00BA22F1" w:rsidRDefault="00BA22F1" w:rsidP="00F602A1">
      <w:pPr>
        <w:spacing w:after="0" w:line="240" w:lineRule="auto"/>
        <w:ind w:right="283"/>
        <w:jc w:val="both"/>
        <w:rPr>
          <w:rFonts w:ascii="Times New Roman" w:hAnsi="Times New Roman" w:cs="Times New Roman"/>
          <w:bCs/>
          <w:sz w:val="24"/>
          <w:szCs w:val="24"/>
        </w:rPr>
      </w:pPr>
      <w:r w:rsidRPr="00BA22F1">
        <w:rPr>
          <w:rFonts w:ascii="Times New Roman" w:hAnsi="Times New Roman" w:cs="Times New Roman"/>
          <w:bCs/>
          <w:sz w:val="24"/>
          <w:szCs w:val="24"/>
        </w:rPr>
        <w:t xml:space="preserve">На контейнер прикрепляют этикетку </w:t>
      </w:r>
      <w:proofErr w:type="spellStart"/>
      <w:r w:rsidRPr="00BA22F1">
        <w:rPr>
          <w:rFonts w:ascii="Times New Roman" w:hAnsi="Times New Roman" w:cs="Times New Roman"/>
          <w:bCs/>
          <w:sz w:val="24"/>
          <w:szCs w:val="24"/>
        </w:rPr>
        <w:t>самоклеющуюся</w:t>
      </w:r>
      <w:proofErr w:type="spellEnd"/>
      <w:r w:rsidRPr="00BA22F1">
        <w:rPr>
          <w:rFonts w:ascii="Times New Roman" w:hAnsi="Times New Roman" w:cs="Times New Roman"/>
          <w:bCs/>
          <w:sz w:val="24"/>
          <w:szCs w:val="24"/>
        </w:rPr>
        <w:t xml:space="preserve"> и инструкцию по медицинскому применению на </w:t>
      </w:r>
      <w:r w:rsidRPr="00BA22F1">
        <w:rPr>
          <w:rFonts w:ascii="Times New Roman" w:hAnsi="Times New Roman" w:cs="Times New Roman"/>
          <w:bCs/>
          <w:sz w:val="24"/>
          <w:szCs w:val="24"/>
          <w:lang w:val="kk-KZ"/>
        </w:rPr>
        <w:t>казахском</w:t>
      </w:r>
      <w:r w:rsidRPr="00BA22F1">
        <w:rPr>
          <w:rFonts w:ascii="Times New Roman" w:hAnsi="Times New Roman" w:cs="Times New Roman"/>
          <w:bCs/>
          <w:sz w:val="24"/>
          <w:szCs w:val="24"/>
        </w:rPr>
        <w:t xml:space="preserve"> и русском языках.</w:t>
      </w:r>
    </w:p>
    <w:p w14:paraId="36346A29" w14:textId="77777777" w:rsidR="0032527D" w:rsidRDefault="0032527D" w:rsidP="00F602A1">
      <w:pPr>
        <w:spacing w:after="0" w:line="240" w:lineRule="auto"/>
        <w:ind w:right="283"/>
        <w:jc w:val="both"/>
        <w:rPr>
          <w:rFonts w:ascii="Times New Roman" w:hAnsi="Times New Roman" w:cs="Times New Roman"/>
          <w:bCs/>
          <w:sz w:val="24"/>
          <w:szCs w:val="24"/>
        </w:rPr>
      </w:pPr>
    </w:p>
    <w:p w14:paraId="2F171156" w14:textId="77777777" w:rsidR="00A72229" w:rsidRPr="00AF48D6" w:rsidRDefault="00A72229" w:rsidP="00F602A1">
      <w:pPr>
        <w:spacing w:after="0" w:line="240" w:lineRule="auto"/>
        <w:ind w:right="283"/>
        <w:jc w:val="both"/>
        <w:rPr>
          <w:rFonts w:ascii="Times New Roman" w:hAnsi="Times New Roman" w:cs="Times New Roman"/>
          <w:b/>
          <w:bCs/>
          <w:sz w:val="24"/>
          <w:szCs w:val="24"/>
        </w:rPr>
      </w:pPr>
      <w:r w:rsidRPr="00AF48D6">
        <w:rPr>
          <w:rFonts w:ascii="Times New Roman" w:hAnsi="Times New Roman" w:cs="Times New Roman"/>
          <w:b/>
          <w:bCs/>
          <w:sz w:val="24"/>
          <w:szCs w:val="24"/>
        </w:rPr>
        <w:t>6.6 Особые меры предосторожности при уничтожении использованного лекарственного препарата или отходов, полученных после применения лекарственного препарата или работы с ним.</w:t>
      </w:r>
    </w:p>
    <w:p w14:paraId="2300DDA5" w14:textId="2E019362" w:rsidR="00A72229" w:rsidRDefault="00A72229" w:rsidP="00F602A1">
      <w:pPr>
        <w:spacing w:after="0" w:line="240" w:lineRule="auto"/>
        <w:ind w:right="283"/>
        <w:jc w:val="both"/>
        <w:rPr>
          <w:rFonts w:ascii="Times New Roman" w:hAnsi="Times New Roman" w:cs="Times New Roman"/>
          <w:bCs/>
          <w:sz w:val="24"/>
          <w:szCs w:val="24"/>
        </w:rPr>
      </w:pPr>
      <w:r w:rsidRPr="00BD7305">
        <w:rPr>
          <w:rFonts w:ascii="Times New Roman" w:hAnsi="Times New Roman" w:cs="Times New Roman"/>
          <w:bCs/>
          <w:sz w:val="24"/>
          <w:szCs w:val="24"/>
        </w:rPr>
        <w:t>Весь оставшийся лекарственный препарат и отходы следует уничтожить в установленном порядке.</w:t>
      </w:r>
    </w:p>
    <w:p w14:paraId="0D7FF0BE" w14:textId="77777777" w:rsidR="0032527D" w:rsidRDefault="0032527D" w:rsidP="00F602A1">
      <w:pPr>
        <w:spacing w:after="0" w:line="240" w:lineRule="auto"/>
        <w:ind w:right="283"/>
        <w:jc w:val="both"/>
        <w:rPr>
          <w:rFonts w:ascii="Times New Roman" w:hAnsi="Times New Roman" w:cs="Times New Roman"/>
          <w:bCs/>
          <w:sz w:val="24"/>
          <w:szCs w:val="24"/>
        </w:rPr>
      </w:pPr>
    </w:p>
    <w:p w14:paraId="7343CEC4" w14:textId="77777777" w:rsidR="00052DEA" w:rsidRPr="00052DEA" w:rsidRDefault="00052DEA" w:rsidP="00F602A1">
      <w:pPr>
        <w:spacing w:after="0" w:line="240" w:lineRule="auto"/>
        <w:ind w:right="283"/>
        <w:jc w:val="both"/>
        <w:rPr>
          <w:rFonts w:ascii="Times New Roman" w:hAnsi="Times New Roman" w:cs="Times New Roman"/>
          <w:b/>
          <w:bCs/>
          <w:sz w:val="24"/>
          <w:szCs w:val="24"/>
        </w:rPr>
      </w:pPr>
      <w:r w:rsidRPr="00052DEA">
        <w:rPr>
          <w:rFonts w:ascii="Times New Roman" w:hAnsi="Times New Roman" w:cs="Times New Roman"/>
          <w:b/>
          <w:bCs/>
          <w:sz w:val="24"/>
          <w:szCs w:val="24"/>
        </w:rPr>
        <w:t>6.7 Условия отпуска из аптек</w:t>
      </w:r>
    </w:p>
    <w:p w14:paraId="0B602E84" w14:textId="73ED3A6A" w:rsidR="00052DEA" w:rsidRDefault="00052DEA" w:rsidP="00F602A1">
      <w:pPr>
        <w:spacing w:after="0" w:line="240" w:lineRule="auto"/>
        <w:ind w:right="283"/>
        <w:jc w:val="both"/>
        <w:rPr>
          <w:rFonts w:ascii="Times New Roman" w:hAnsi="Times New Roman" w:cs="Times New Roman"/>
          <w:bCs/>
          <w:sz w:val="24"/>
          <w:szCs w:val="24"/>
        </w:rPr>
      </w:pPr>
      <w:r>
        <w:rPr>
          <w:rFonts w:ascii="Times New Roman" w:hAnsi="Times New Roman" w:cs="Times New Roman"/>
          <w:bCs/>
          <w:sz w:val="24"/>
          <w:szCs w:val="24"/>
        </w:rPr>
        <w:t>По рецепту</w:t>
      </w:r>
    </w:p>
    <w:p w14:paraId="6EE6F994" w14:textId="77777777" w:rsidR="0032527D" w:rsidRPr="00BD7305" w:rsidRDefault="0032527D" w:rsidP="00F602A1">
      <w:pPr>
        <w:spacing w:after="0" w:line="240" w:lineRule="auto"/>
        <w:ind w:right="283"/>
        <w:jc w:val="both"/>
        <w:rPr>
          <w:rFonts w:ascii="Times New Roman" w:hAnsi="Times New Roman" w:cs="Times New Roman"/>
          <w:bCs/>
          <w:sz w:val="24"/>
          <w:szCs w:val="24"/>
        </w:rPr>
      </w:pPr>
    </w:p>
    <w:p w14:paraId="03E5346E" w14:textId="77777777" w:rsidR="009D1EE4" w:rsidRDefault="009D1EE4" w:rsidP="00F602A1">
      <w:pPr>
        <w:spacing w:after="0" w:line="240" w:lineRule="auto"/>
        <w:ind w:right="283"/>
        <w:jc w:val="both"/>
        <w:rPr>
          <w:rFonts w:ascii="Times New Roman" w:hAnsi="Times New Roman" w:cs="Times New Roman"/>
          <w:b/>
          <w:bCs/>
          <w:sz w:val="24"/>
          <w:szCs w:val="24"/>
        </w:rPr>
      </w:pPr>
      <w:r w:rsidRPr="009D1EE4">
        <w:rPr>
          <w:rFonts w:ascii="Times New Roman" w:hAnsi="Times New Roman" w:cs="Times New Roman"/>
          <w:b/>
          <w:bCs/>
          <w:sz w:val="24"/>
          <w:szCs w:val="24"/>
        </w:rPr>
        <w:t>7. ДЕРЖАТЕЛЬ РЕГИСТРАЦИОННОГО УДОСТОВЕРЕНИЯ</w:t>
      </w:r>
    </w:p>
    <w:p w14:paraId="3616B753" w14:textId="77777777" w:rsidR="00F548A9" w:rsidRPr="0032527D" w:rsidRDefault="00F548A9" w:rsidP="00F602A1">
      <w:pPr>
        <w:spacing w:after="0" w:line="240" w:lineRule="auto"/>
        <w:ind w:right="283"/>
        <w:jc w:val="both"/>
        <w:rPr>
          <w:rFonts w:ascii="Times New Roman" w:hAnsi="Times New Roman" w:cs="Times New Roman"/>
          <w:bCs/>
          <w:sz w:val="24"/>
          <w:szCs w:val="24"/>
        </w:rPr>
      </w:pPr>
      <w:proofErr w:type="spellStart"/>
      <w:r w:rsidRPr="00F548A9">
        <w:rPr>
          <w:rFonts w:ascii="Times New Roman" w:hAnsi="Times New Roman" w:cs="Times New Roman"/>
          <w:bCs/>
          <w:sz w:val="24"/>
          <w:szCs w:val="24"/>
          <w:lang w:val="en-US"/>
        </w:rPr>
        <w:t>Eugia</w:t>
      </w:r>
      <w:proofErr w:type="spellEnd"/>
      <w:r w:rsidRPr="0032527D">
        <w:rPr>
          <w:rFonts w:ascii="Times New Roman" w:hAnsi="Times New Roman" w:cs="Times New Roman"/>
          <w:bCs/>
          <w:sz w:val="24"/>
          <w:szCs w:val="24"/>
        </w:rPr>
        <w:t xml:space="preserve"> </w:t>
      </w:r>
      <w:r w:rsidRPr="00F548A9">
        <w:rPr>
          <w:rFonts w:ascii="Times New Roman" w:hAnsi="Times New Roman" w:cs="Times New Roman"/>
          <w:bCs/>
          <w:sz w:val="24"/>
          <w:szCs w:val="24"/>
          <w:lang w:val="en-US"/>
        </w:rPr>
        <w:t>Pharma</w:t>
      </w:r>
      <w:r w:rsidRPr="0032527D">
        <w:rPr>
          <w:rFonts w:ascii="Times New Roman" w:hAnsi="Times New Roman" w:cs="Times New Roman"/>
          <w:bCs/>
          <w:sz w:val="24"/>
          <w:szCs w:val="24"/>
        </w:rPr>
        <w:t xml:space="preserve"> </w:t>
      </w:r>
      <w:proofErr w:type="spellStart"/>
      <w:r w:rsidRPr="00F548A9">
        <w:rPr>
          <w:rFonts w:ascii="Times New Roman" w:hAnsi="Times New Roman" w:cs="Times New Roman"/>
          <w:bCs/>
          <w:sz w:val="24"/>
          <w:szCs w:val="24"/>
          <w:lang w:val="en-US"/>
        </w:rPr>
        <w:t>Specialities</w:t>
      </w:r>
      <w:proofErr w:type="spellEnd"/>
      <w:r w:rsidRPr="0032527D">
        <w:rPr>
          <w:rFonts w:ascii="Times New Roman" w:hAnsi="Times New Roman" w:cs="Times New Roman"/>
          <w:bCs/>
          <w:sz w:val="24"/>
          <w:szCs w:val="24"/>
        </w:rPr>
        <w:t xml:space="preserve"> </w:t>
      </w:r>
      <w:r w:rsidRPr="00F548A9">
        <w:rPr>
          <w:rFonts w:ascii="Times New Roman" w:hAnsi="Times New Roman" w:cs="Times New Roman"/>
          <w:bCs/>
          <w:sz w:val="24"/>
          <w:szCs w:val="24"/>
          <w:lang w:val="en-US"/>
        </w:rPr>
        <w:t>Limited</w:t>
      </w:r>
      <w:r w:rsidRPr="0032527D">
        <w:rPr>
          <w:rFonts w:ascii="Times New Roman" w:hAnsi="Times New Roman" w:cs="Times New Roman"/>
          <w:bCs/>
          <w:sz w:val="24"/>
          <w:szCs w:val="24"/>
        </w:rPr>
        <w:t xml:space="preserve"> </w:t>
      </w:r>
    </w:p>
    <w:p w14:paraId="61DBAADC" w14:textId="282532B3" w:rsidR="003D5104" w:rsidRPr="00BA22F1" w:rsidRDefault="003D5104" w:rsidP="00F602A1">
      <w:pPr>
        <w:spacing w:after="0" w:line="240" w:lineRule="auto"/>
        <w:ind w:right="283"/>
        <w:jc w:val="both"/>
        <w:rPr>
          <w:rFonts w:ascii="Times New Roman" w:hAnsi="Times New Roman" w:cs="Times New Roman"/>
          <w:bCs/>
          <w:iCs/>
          <w:sz w:val="24"/>
          <w:szCs w:val="24"/>
          <w:lang w:val="en-US"/>
        </w:rPr>
      </w:pPr>
      <w:r w:rsidRPr="003D5104">
        <w:rPr>
          <w:rFonts w:ascii="Times New Roman" w:hAnsi="Times New Roman" w:cs="Times New Roman"/>
          <w:bCs/>
          <w:iCs/>
          <w:sz w:val="24"/>
          <w:szCs w:val="24"/>
          <w:lang w:val="en-US"/>
        </w:rPr>
        <w:t>Plot</w:t>
      </w:r>
      <w:r w:rsidRPr="00BA22F1">
        <w:rPr>
          <w:rFonts w:ascii="Times New Roman" w:hAnsi="Times New Roman" w:cs="Times New Roman"/>
          <w:bCs/>
          <w:iCs/>
          <w:sz w:val="24"/>
          <w:szCs w:val="24"/>
          <w:lang w:val="en-US"/>
        </w:rPr>
        <w:t xml:space="preserve"> </w:t>
      </w:r>
      <w:r w:rsidRPr="003D5104">
        <w:rPr>
          <w:rFonts w:ascii="Times New Roman" w:hAnsi="Times New Roman" w:cs="Times New Roman"/>
          <w:bCs/>
          <w:iCs/>
          <w:sz w:val="24"/>
          <w:szCs w:val="24"/>
          <w:lang w:val="en-US"/>
        </w:rPr>
        <w:t>No</w:t>
      </w:r>
      <w:r w:rsidRPr="00BA22F1">
        <w:rPr>
          <w:rFonts w:ascii="Times New Roman" w:hAnsi="Times New Roman" w:cs="Times New Roman"/>
          <w:bCs/>
          <w:iCs/>
          <w:sz w:val="24"/>
          <w:szCs w:val="24"/>
          <w:lang w:val="en-US"/>
        </w:rPr>
        <w:t xml:space="preserve">.2, </w:t>
      </w:r>
      <w:proofErr w:type="spellStart"/>
      <w:r w:rsidRPr="003D5104">
        <w:rPr>
          <w:rFonts w:ascii="Times New Roman" w:hAnsi="Times New Roman" w:cs="Times New Roman"/>
          <w:bCs/>
          <w:iCs/>
          <w:sz w:val="24"/>
          <w:szCs w:val="24"/>
          <w:lang w:val="en-US"/>
        </w:rPr>
        <w:t>Maithrivihar</w:t>
      </w:r>
      <w:proofErr w:type="spellEnd"/>
      <w:r w:rsidRPr="00BA22F1">
        <w:rPr>
          <w:rFonts w:ascii="Times New Roman" w:hAnsi="Times New Roman" w:cs="Times New Roman"/>
          <w:bCs/>
          <w:iCs/>
          <w:sz w:val="24"/>
          <w:szCs w:val="24"/>
          <w:lang w:val="en-US"/>
        </w:rPr>
        <w:t xml:space="preserve">, </w:t>
      </w:r>
      <w:r w:rsidRPr="003D5104">
        <w:rPr>
          <w:rFonts w:ascii="Times New Roman" w:hAnsi="Times New Roman" w:cs="Times New Roman"/>
          <w:bCs/>
          <w:iCs/>
          <w:sz w:val="24"/>
          <w:szCs w:val="24"/>
          <w:lang w:val="en-US"/>
        </w:rPr>
        <w:t>Ameerpet</w:t>
      </w:r>
      <w:r w:rsidRPr="00BA22F1">
        <w:rPr>
          <w:rFonts w:ascii="Times New Roman" w:hAnsi="Times New Roman" w:cs="Times New Roman"/>
          <w:bCs/>
          <w:iCs/>
          <w:sz w:val="24"/>
          <w:szCs w:val="24"/>
          <w:lang w:val="en-US"/>
        </w:rPr>
        <w:t>,</w:t>
      </w:r>
    </w:p>
    <w:p w14:paraId="43369243" w14:textId="06B1F413" w:rsidR="003D5104" w:rsidRPr="000924CA" w:rsidRDefault="0032527D" w:rsidP="00F602A1">
      <w:pPr>
        <w:spacing w:after="0" w:line="240" w:lineRule="auto"/>
        <w:ind w:right="283"/>
        <w:jc w:val="both"/>
        <w:rPr>
          <w:rFonts w:ascii="Times New Roman" w:hAnsi="Times New Roman" w:cs="Times New Roman"/>
          <w:bCs/>
          <w:iCs/>
          <w:sz w:val="24"/>
          <w:szCs w:val="24"/>
        </w:rPr>
      </w:pPr>
      <w:r>
        <w:rPr>
          <w:rFonts w:ascii="Times New Roman" w:hAnsi="Times New Roman" w:cs="Times New Roman"/>
          <w:bCs/>
          <w:iCs/>
          <w:sz w:val="24"/>
          <w:szCs w:val="24"/>
          <w:lang w:val="en-US"/>
        </w:rPr>
        <w:t>Hyderabad/</w:t>
      </w:r>
      <w:proofErr w:type="spellStart"/>
      <w:r w:rsidR="00B01B09">
        <w:rPr>
          <w:rFonts w:ascii="Times New Roman" w:hAnsi="Times New Roman" w:cs="Times New Roman"/>
          <w:bCs/>
          <w:iCs/>
          <w:sz w:val="24"/>
          <w:szCs w:val="24"/>
        </w:rPr>
        <w:t>Хайдерабад</w:t>
      </w:r>
      <w:proofErr w:type="spellEnd"/>
      <w:r w:rsidR="003D5104" w:rsidRPr="0032527D">
        <w:rPr>
          <w:rFonts w:ascii="Times New Roman" w:hAnsi="Times New Roman" w:cs="Times New Roman"/>
          <w:bCs/>
          <w:iCs/>
          <w:sz w:val="24"/>
          <w:szCs w:val="24"/>
          <w:lang w:val="en-US"/>
        </w:rPr>
        <w:t xml:space="preserve"> - 500 038. </w:t>
      </w:r>
      <w:r w:rsidR="003D5104" w:rsidRPr="003D5104">
        <w:rPr>
          <w:rFonts w:ascii="Times New Roman" w:hAnsi="Times New Roman" w:cs="Times New Roman"/>
          <w:bCs/>
          <w:iCs/>
          <w:sz w:val="24"/>
          <w:szCs w:val="24"/>
          <w:lang w:val="en-US"/>
        </w:rPr>
        <w:t>Telangana</w:t>
      </w:r>
      <w:r w:rsidR="003D5104" w:rsidRPr="000924CA">
        <w:rPr>
          <w:rFonts w:ascii="Times New Roman" w:hAnsi="Times New Roman" w:cs="Times New Roman"/>
          <w:bCs/>
          <w:iCs/>
          <w:sz w:val="24"/>
          <w:szCs w:val="24"/>
        </w:rPr>
        <w:t xml:space="preserve">, </w:t>
      </w:r>
      <w:r w:rsidR="003D5104" w:rsidRPr="003D5104">
        <w:rPr>
          <w:rFonts w:ascii="Times New Roman" w:hAnsi="Times New Roman" w:cs="Times New Roman"/>
          <w:bCs/>
          <w:iCs/>
          <w:sz w:val="24"/>
          <w:szCs w:val="24"/>
        </w:rPr>
        <w:t>Индия</w:t>
      </w:r>
      <w:r w:rsidR="003D5104" w:rsidRPr="000924CA">
        <w:rPr>
          <w:rFonts w:ascii="Times New Roman" w:hAnsi="Times New Roman" w:cs="Times New Roman"/>
          <w:bCs/>
          <w:iCs/>
          <w:sz w:val="24"/>
          <w:szCs w:val="24"/>
        </w:rPr>
        <w:t>.</w:t>
      </w:r>
    </w:p>
    <w:p w14:paraId="1F95F41A" w14:textId="77777777" w:rsidR="003D5104" w:rsidRPr="000924CA" w:rsidRDefault="003D5104" w:rsidP="00F602A1">
      <w:pPr>
        <w:spacing w:after="0" w:line="240" w:lineRule="auto"/>
        <w:ind w:right="283"/>
        <w:jc w:val="both"/>
        <w:rPr>
          <w:rFonts w:ascii="Times New Roman" w:hAnsi="Times New Roman" w:cs="Times New Roman"/>
          <w:bCs/>
          <w:iCs/>
          <w:sz w:val="24"/>
          <w:szCs w:val="24"/>
        </w:rPr>
      </w:pPr>
      <w:r w:rsidRPr="003D5104">
        <w:rPr>
          <w:rFonts w:ascii="Times New Roman" w:hAnsi="Times New Roman" w:cs="Times New Roman"/>
          <w:bCs/>
          <w:iCs/>
          <w:sz w:val="24"/>
          <w:szCs w:val="24"/>
          <w:lang w:val="kk-KZ"/>
        </w:rPr>
        <w:t>Т</w:t>
      </w:r>
      <w:r w:rsidRPr="003D5104">
        <w:rPr>
          <w:rFonts w:ascii="Times New Roman" w:hAnsi="Times New Roman" w:cs="Times New Roman"/>
          <w:bCs/>
          <w:iCs/>
          <w:sz w:val="24"/>
          <w:szCs w:val="24"/>
        </w:rPr>
        <w:t>ел</w:t>
      </w:r>
      <w:r w:rsidRPr="000924CA">
        <w:rPr>
          <w:rFonts w:ascii="Times New Roman" w:hAnsi="Times New Roman" w:cs="Times New Roman"/>
          <w:bCs/>
          <w:iCs/>
          <w:sz w:val="24"/>
          <w:szCs w:val="24"/>
        </w:rPr>
        <w:t>.: +914066725000/1200, +914023736370</w:t>
      </w:r>
    </w:p>
    <w:p w14:paraId="56C2422A" w14:textId="554B36DE" w:rsidR="003D5104" w:rsidRDefault="003D5104" w:rsidP="00F602A1">
      <w:pPr>
        <w:spacing w:after="0" w:line="240" w:lineRule="auto"/>
        <w:ind w:right="283"/>
        <w:jc w:val="both"/>
        <w:rPr>
          <w:rFonts w:ascii="Times New Roman" w:hAnsi="Times New Roman" w:cs="Times New Roman"/>
          <w:bCs/>
          <w:iCs/>
          <w:sz w:val="24"/>
          <w:szCs w:val="24"/>
        </w:rPr>
      </w:pPr>
      <w:r>
        <w:rPr>
          <w:rFonts w:ascii="Times New Roman" w:hAnsi="Times New Roman" w:cs="Times New Roman"/>
          <w:bCs/>
          <w:iCs/>
          <w:sz w:val="24"/>
          <w:szCs w:val="24"/>
        </w:rPr>
        <w:t>Ф</w:t>
      </w:r>
      <w:r w:rsidRPr="003D5104">
        <w:rPr>
          <w:rFonts w:ascii="Times New Roman" w:hAnsi="Times New Roman" w:cs="Times New Roman"/>
          <w:bCs/>
          <w:iCs/>
          <w:sz w:val="24"/>
          <w:szCs w:val="24"/>
        </w:rPr>
        <w:t>акс</w:t>
      </w:r>
      <w:r w:rsidRPr="000924CA">
        <w:rPr>
          <w:rFonts w:ascii="Times New Roman" w:hAnsi="Times New Roman" w:cs="Times New Roman"/>
          <w:bCs/>
          <w:iCs/>
          <w:sz w:val="24"/>
          <w:szCs w:val="24"/>
        </w:rPr>
        <w:t>: +914067074059, +914023747340</w:t>
      </w:r>
    </w:p>
    <w:p w14:paraId="7571325A" w14:textId="680A8602" w:rsidR="003D5104" w:rsidRDefault="003D5104" w:rsidP="00F602A1">
      <w:pPr>
        <w:spacing w:after="0" w:line="240" w:lineRule="auto"/>
        <w:ind w:right="283"/>
        <w:jc w:val="both"/>
        <w:rPr>
          <w:rFonts w:ascii="Times New Roman" w:hAnsi="Times New Roman" w:cs="Times New Roman"/>
          <w:bCs/>
          <w:iCs/>
          <w:sz w:val="24"/>
          <w:szCs w:val="24"/>
        </w:rPr>
      </w:pPr>
      <w:r>
        <w:rPr>
          <w:rFonts w:ascii="Times New Roman" w:hAnsi="Times New Roman" w:cs="Times New Roman"/>
          <w:bCs/>
          <w:iCs/>
          <w:sz w:val="24"/>
          <w:szCs w:val="24"/>
        </w:rPr>
        <w:t>Адрес</w:t>
      </w:r>
      <w:r w:rsidRPr="003D5104">
        <w:rPr>
          <w:rFonts w:ascii="Times New Roman" w:hAnsi="Times New Roman" w:cs="Times New Roman"/>
          <w:bCs/>
          <w:iCs/>
          <w:sz w:val="24"/>
          <w:szCs w:val="24"/>
        </w:rPr>
        <w:t xml:space="preserve"> электронный </w:t>
      </w:r>
      <w:r w:rsidR="00C75357">
        <w:rPr>
          <w:rFonts w:ascii="Times New Roman" w:hAnsi="Times New Roman" w:cs="Times New Roman"/>
          <w:bCs/>
          <w:iCs/>
          <w:sz w:val="24"/>
          <w:szCs w:val="24"/>
        </w:rPr>
        <w:t>почты</w:t>
      </w:r>
      <w:r w:rsidRPr="003D5104">
        <w:rPr>
          <w:rFonts w:ascii="Times New Roman" w:hAnsi="Times New Roman" w:cs="Times New Roman"/>
          <w:bCs/>
          <w:iCs/>
          <w:sz w:val="24"/>
          <w:szCs w:val="24"/>
        </w:rPr>
        <w:t xml:space="preserve"> </w:t>
      </w:r>
      <w:hyperlink r:id="rId6" w:history="1">
        <w:r w:rsidR="004A6809" w:rsidRPr="006E3355">
          <w:rPr>
            <w:rStyle w:val="a3"/>
            <w:rFonts w:ascii="Times New Roman" w:hAnsi="Times New Roman" w:cs="Times New Roman"/>
            <w:bCs/>
            <w:iCs/>
            <w:sz w:val="24"/>
            <w:szCs w:val="24"/>
          </w:rPr>
          <w:t>info@eugia.co.in</w:t>
        </w:r>
      </w:hyperlink>
    </w:p>
    <w:p w14:paraId="28F0F7D1" w14:textId="77777777" w:rsidR="004A6809" w:rsidRPr="004A6809" w:rsidRDefault="004A6809" w:rsidP="00F602A1">
      <w:pPr>
        <w:spacing w:after="0" w:line="240" w:lineRule="auto"/>
        <w:ind w:right="283"/>
        <w:jc w:val="both"/>
        <w:rPr>
          <w:rStyle w:val="a3"/>
          <w:rFonts w:ascii="Times New Roman" w:hAnsi="Times New Roman" w:cs="Times New Roman"/>
          <w:bCs/>
          <w:iCs/>
          <w:sz w:val="24"/>
          <w:szCs w:val="24"/>
        </w:rPr>
      </w:pPr>
    </w:p>
    <w:p w14:paraId="12A59285" w14:textId="77777777" w:rsidR="00A72229" w:rsidRPr="00CE5201" w:rsidRDefault="00A72229" w:rsidP="00F602A1">
      <w:pPr>
        <w:spacing w:after="0" w:line="240" w:lineRule="auto"/>
        <w:ind w:right="283"/>
        <w:jc w:val="both"/>
        <w:rPr>
          <w:rFonts w:ascii="Times New Roman" w:hAnsi="Times New Roman" w:cs="Times New Roman"/>
          <w:b/>
          <w:bCs/>
          <w:sz w:val="24"/>
          <w:szCs w:val="24"/>
        </w:rPr>
      </w:pPr>
      <w:r w:rsidRPr="00CE5201">
        <w:rPr>
          <w:rFonts w:ascii="Times New Roman" w:hAnsi="Times New Roman" w:cs="Times New Roman"/>
          <w:b/>
          <w:bCs/>
          <w:iCs/>
          <w:sz w:val="24"/>
          <w:szCs w:val="24"/>
        </w:rPr>
        <w:t>7.1. ПРЕДСТАВИТЕЛЬ ДЕРЖАТЕЛЯ РЕГИСТРАЦИОННОГО УДОСТОВЕРЕНИЯ.</w:t>
      </w:r>
    </w:p>
    <w:p w14:paraId="74F2BA7A" w14:textId="77777777" w:rsidR="00A72229" w:rsidRDefault="00A72229" w:rsidP="00F602A1">
      <w:pPr>
        <w:spacing w:after="0" w:line="240" w:lineRule="auto"/>
        <w:ind w:right="283"/>
        <w:jc w:val="both"/>
        <w:rPr>
          <w:rFonts w:ascii="Times New Roman" w:hAnsi="Times New Roman" w:cs="Times New Roman"/>
          <w:bCs/>
          <w:iCs/>
          <w:sz w:val="24"/>
          <w:szCs w:val="24"/>
        </w:rPr>
      </w:pPr>
      <w:r w:rsidRPr="00CE5201">
        <w:rPr>
          <w:rFonts w:ascii="Times New Roman" w:hAnsi="Times New Roman" w:cs="Times New Roman"/>
          <w:bCs/>
          <w:iCs/>
          <w:sz w:val="24"/>
          <w:szCs w:val="24"/>
        </w:rPr>
        <w:t>Претензии потребителей направлять по адресу:</w:t>
      </w:r>
    </w:p>
    <w:p w14:paraId="32BBF97C" w14:textId="0AA600AD" w:rsidR="004A6809" w:rsidRPr="004A6809" w:rsidRDefault="004A6809" w:rsidP="004A6809">
      <w:pPr>
        <w:spacing w:after="0" w:line="240" w:lineRule="auto"/>
        <w:ind w:right="283"/>
        <w:jc w:val="both"/>
        <w:rPr>
          <w:rFonts w:ascii="Times New Roman" w:hAnsi="Times New Roman" w:cs="Times New Roman"/>
          <w:bCs/>
          <w:iCs/>
          <w:sz w:val="24"/>
          <w:szCs w:val="24"/>
        </w:rPr>
      </w:pPr>
      <w:r w:rsidRPr="004A6809">
        <w:rPr>
          <w:rFonts w:ascii="Times New Roman" w:hAnsi="Times New Roman" w:cs="Times New Roman"/>
          <w:bCs/>
          <w:iCs/>
          <w:sz w:val="24"/>
          <w:szCs w:val="24"/>
        </w:rPr>
        <w:t>ТОО “</w:t>
      </w:r>
      <w:r w:rsidRPr="004A6809">
        <w:rPr>
          <w:rFonts w:ascii="Times New Roman" w:hAnsi="Times New Roman" w:cs="Times New Roman"/>
          <w:bCs/>
          <w:iCs/>
          <w:sz w:val="24"/>
          <w:szCs w:val="24"/>
          <w:lang w:val="en-US"/>
        </w:rPr>
        <w:t>LEKARSTVENNAYA</w:t>
      </w:r>
      <w:r w:rsidRPr="004A6809">
        <w:rPr>
          <w:rFonts w:ascii="Times New Roman" w:hAnsi="Times New Roman" w:cs="Times New Roman"/>
          <w:bCs/>
          <w:iCs/>
          <w:sz w:val="24"/>
          <w:szCs w:val="24"/>
        </w:rPr>
        <w:t xml:space="preserve"> </w:t>
      </w:r>
      <w:r w:rsidRPr="004A6809">
        <w:rPr>
          <w:rFonts w:ascii="Times New Roman" w:hAnsi="Times New Roman" w:cs="Times New Roman"/>
          <w:bCs/>
          <w:iCs/>
          <w:sz w:val="24"/>
          <w:szCs w:val="24"/>
          <w:lang w:val="en-US"/>
        </w:rPr>
        <w:t>BEZOPASNOST</w:t>
      </w:r>
      <w:r w:rsidR="009F3E71">
        <w:rPr>
          <w:rFonts w:ascii="Times New Roman" w:hAnsi="Times New Roman" w:cs="Times New Roman"/>
          <w:bCs/>
          <w:iCs/>
          <w:sz w:val="24"/>
          <w:szCs w:val="24"/>
        </w:rPr>
        <w:t xml:space="preserve"> </w:t>
      </w:r>
      <w:r w:rsidRPr="004A6809">
        <w:rPr>
          <w:rFonts w:ascii="Times New Roman" w:hAnsi="Times New Roman" w:cs="Times New Roman"/>
          <w:bCs/>
          <w:iCs/>
          <w:sz w:val="24"/>
          <w:szCs w:val="24"/>
        </w:rPr>
        <w:t>(Лекарственная безопасность)”</w:t>
      </w:r>
    </w:p>
    <w:p w14:paraId="705EDE6A" w14:textId="77777777" w:rsidR="004A6809" w:rsidRPr="004A6809" w:rsidRDefault="004A6809" w:rsidP="004A6809">
      <w:pPr>
        <w:spacing w:after="0" w:line="240" w:lineRule="auto"/>
        <w:ind w:right="283"/>
        <w:jc w:val="both"/>
        <w:rPr>
          <w:rFonts w:ascii="Times New Roman" w:hAnsi="Times New Roman" w:cs="Times New Roman"/>
          <w:bCs/>
          <w:iCs/>
          <w:sz w:val="24"/>
          <w:szCs w:val="24"/>
        </w:rPr>
      </w:pPr>
      <w:r w:rsidRPr="004A6809">
        <w:rPr>
          <w:rFonts w:ascii="Times New Roman" w:hAnsi="Times New Roman" w:cs="Times New Roman"/>
          <w:bCs/>
          <w:iCs/>
          <w:sz w:val="24"/>
          <w:szCs w:val="24"/>
        </w:rPr>
        <w:t xml:space="preserve">050047, Казахстан, город Алматы, Алатауский район, микрорайон </w:t>
      </w:r>
      <w:proofErr w:type="spellStart"/>
      <w:r w:rsidRPr="004A6809">
        <w:rPr>
          <w:rFonts w:ascii="Times New Roman" w:hAnsi="Times New Roman" w:cs="Times New Roman"/>
          <w:bCs/>
          <w:iCs/>
          <w:sz w:val="24"/>
          <w:szCs w:val="24"/>
        </w:rPr>
        <w:t>Саялы</w:t>
      </w:r>
      <w:proofErr w:type="spellEnd"/>
      <w:r w:rsidRPr="004A6809">
        <w:rPr>
          <w:rFonts w:ascii="Times New Roman" w:hAnsi="Times New Roman" w:cs="Times New Roman"/>
          <w:bCs/>
          <w:iCs/>
          <w:sz w:val="24"/>
          <w:szCs w:val="24"/>
        </w:rPr>
        <w:t>, д.16, кв.8.</w:t>
      </w:r>
    </w:p>
    <w:p w14:paraId="02877695" w14:textId="77777777" w:rsidR="004A6809" w:rsidRPr="004A6809" w:rsidRDefault="004A6809" w:rsidP="004A6809">
      <w:pPr>
        <w:spacing w:after="0" w:line="240" w:lineRule="auto"/>
        <w:ind w:right="283"/>
        <w:jc w:val="both"/>
        <w:rPr>
          <w:rFonts w:ascii="Times New Roman" w:hAnsi="Times New Roman" w:cs="Times New Roman"/>
          <w:bCs/>
          <w:iCs/>
          <w:sz w:val="24"/>
          <w:szCs w:val="24"/>
          <w:lang w:val="en-US"/>
        </w:rPr>
      </w:pPr>
      <w:r w:rsidRPr="004A6809">
        <w:rPr>
          <w:rFonts w:ascii="Times New Roman" w:hAnsi="Times New Roman" w:cs="Times New Roman"/>
          <w:bCs/>
          <w:iCs/>
          <w:sz w:val="24"/>
          <w:szCs w:val="24"/>
        </w:rPr>
        <w:t>Тел</w:t>
      </w:r>
      <w:r w:rsidRPr="004A6809">
        <w:rPr>
          <w:rFonts w:ascii="Times New Roman" w:hAnsi="Times New Roman" w:cs="Times New Roman"/>
          <w:bCs/>
          <w:iCs/>
          <w:sz w:val="24"/>
          <w:szCs w:val="24"/>
          <w:lang w:val="en-US"/>
        </w:rPr>
        <w:t xml:space="preserve">.: +7 777 064 27 02, +7 499 504-15-19, </w:t>
      </w:r>
    </w:p>
    <w:p w14:paraId="21DCDF2A" w14:textId="77777777" w:rsidR="004A6809" w:rsidRPr="004A6809" w:rsidRDefault="004A6809" w:rsidP="004A6809">
      <w:pPr>
        <w:spacing w:after="0" w:line="240" w:lineRule="auto"/>
        <w:ind w:right="283"/>
        <w:jc w:val="both"/>
        <w:rPr>
          <w:rFonts w:ascii="Times New Roman" w:hAnsi="Times New Roman" w:cs="Times New Roman"/>
          <w:bCs/>
          <w:iCs/>
          <w:sz w:val="24"/>
          <w:szCs w:val="24"/>
          <w:lang w:val="en-US"/>
        </w:rPr>
      </w:pPr>
      <w:r w:rsidRPr="004A6809">
        <w:rPr>
          <w:rFonts w:ascii="Times New Roman" w:hAnsi="Times New Roman" w:cs="Times New Roman"/>
          <w:bCs/>
          <w:iCs/>
          <w:sz w:val="24"/>
          <w:szCs w:val="24"/>
          <w:lang w:val="en-US"/>
        </w:rPr>
        <w:t xml:space="preserve">e-mail: </w:t>
      </w:r>
      <w:hyperlink r:id="rId7" w:history="1">
        <w:r w:rsidRPr="004A6809">
          <w:rPr>
            <w:rStyle w:val="a3"/>
            <w:rFonts w:ascii="Times New Roman" w:hAnsi="Times New Roman" w:cs="Times New Roman"/>
            <w:bCs/>
            <w:iCs/>
            <w:sz w:val="24"/>
            <w:szCs w:val="24"/>
            <w:lang w:val="en-US"/>
          </w:rPr>
          <w:t>adversereaction@drugsafety.ru</w:t>
        </w:r>
      </w:hyperlink>
    </w:p>
    <w:p w14:paraId="11342443" w14:textId="77777777" w:rsidR="0032527D" w:rsidRPr="004A6809" w:rsidRDefault="0032527D" w:rsidP="00F602A1">
      <w:pPr>
        <w:spacing w:after="0" w:line="240" w:lineRule="auto"/>
        <w:ind w:right="283"/>
        <w:jc w:val="both"/>
        <w:rPr>
          <w:rFonts w:ascii="Times New Roman" w:hAnsi="Times New Roman" w:cs="Times New Roman"/>
          <w:bCs/>
          <w:iCs/>
          <w:sz w:val="24"/>
          <w:szCs w:val="24"/>
          <w:lang w:val="en-US"/>
        </w:rPr>
      </w:pPr>
    </w:p>
    <w:p w14:paraId="10B68C16" w14:textId="77777777" w:rsidR="000A4128" w:rsidRPr="000051D7" w:rsidRDefault="000A4128" w:rsidP="00F602A1">
      <w:pPr>
        <w:autoSpaceDE w:val="0"/>
        <w:autoSpaceDN w:val="0"/>
        <w:spacing w:before="120" w:after="0" w:line="240" w:lineRule="auto"/>
        <w:ind w:right="283"/>
        <w:jc w:val="both"/>
        <w:rPr>
          <w:rFonts w:ascii="Times New Roman" w:eastAsia="Times New Roman" w:hAnsi="Times New Roman" w:cs="Times New Roman"/>
          <w:b/>
          <w:sz w:val="24"/>
          <w:szCs w:val="24"/>
          <w:lang w:eastAsia="ru-RU"/>
        </w:rPr>
      </w:pPr>
      <w:r w:rsidRPr="000051D7">
        <w:rPr>
          <w:rFonts w:ascii="Times New Roman" w:eastAsia="Times New Roman" w:hAnsi="Times New Roman" w:cs="Times New Roman"/>
          <w:b/>
          <w:sz w:val="24"/>
          <w:szCs w:val="24"/>
          <w:lang w:val="uk-UA" w:eastAsia="ru-RU"/>
        </w:rPr>
        <w:t xml:space="preserve">8. </w:t>
      </w:r>
      <w:r w:rsidRPr="000051D7">
        <w:rPr>
          <w:rFonts w:ascii="Times New Roman" w:eastAsia="Times New Roman" w:hAnsi="Times New Roman" w:cs="Times New Roman" w:hint="eastAsia"/>
          <w:b/>
          <w:sz w:val="24"/>
          <w:szCs w:val="24"/>
          <w:lang w:val="uk-UA" w:eastAsia="ru-RU"/>
        </w:rPr>
        <w:t>НОМЕР</w:t>
      </w:r>
      <w:r w:rsidRPr="000051D7">
        <w:rPr>
          <w:rFonts w:ascii="Times New Roman" w:eastAsia="Times New Roman" w:hAnsi="Times New Roman" w:cs="Times New Roman"/>
          <w:b/>
          <w:sz w:val="24"/>
          <w:szCs w:val="24"/>
          <w:lang w:val="uk-UA" w:eastAsia="ru-RU"/>
        </w:rPr>
        <w:t xml:space="preserve"> </w:t>
      </w:r>
      <w:r w:rsidRPr="000051D7">
        <w:rPr>
          <w:rFonts w:ascii="Times New Roman" w:eastAsia="Times New Roman" w:hAnsi="Times New Roman" w:cs="Times New Roman" w:hint="eastAsia"/>
          <w:b/>
          <w:sz w:val="24"/>
          <w:szCs w:val="24"/>
          <w:lang w:val="uk-UA" w:eastAsia="ru-RU"/>
        </w:rPr>
        <w:t>РЕГИСТРАЦИОННОГО</w:t>
      </w:r>
      <w:r w:rsidRPr="000051D7">
        <w:rPr>
          <w:rFonts w:ascii="Times New Roman" w:eastAsia="Times New Roman" w:hAnsi="Times New Roman" w:cs="Times New Roman"/>
          <w:b/>
          <w:sz w:val="24"/>
          <w:szCs w:val="24"/>
          <w:lang w:val="uk-UA" w:eastAsia="ru-RU"/>
        </w:rPr>
        <w:t xml:space="preserve"> </w:t>
      </w:r>
      <w:r w:rsidRPr="000051D7">
        <w:rPr>
          <w:rFonts w:ascii="Times New Roman" w:eastAsia="Times New Roman" w:hAnsi="Times New Roman" w:cs="Times New Roman" w:hint="eastAsia"/>
          <w:b/>
          <w:sz w:val="24"/>
          <w:szCs w:val="24"/>
          <w:lang w:val="uk-UA" w:eastAsia="ru-RU"/>
        </w:rPr>
        <w:t>УДОСТОВЕРЕНИЯ</w:t>
      </w:r>
    </w:p>
    <w:p w14:paraId="21015F31" w14:textId="54D4DBBC" w:rsidR="0032527D" w:rsidRDefault="001D7DA9" w:rsidP="007324D3">
      <w:pPr>
        <w:spacing w:after="0" w:line="240" w:lineRule="auto"/>
        <w:ind w:right="283"/>
        <w:jc w:val="both"/>
        <w:rPr>
          <w:rFonts w:ascii="Times New Roman" w:hAnsi="Times New Roman" w:cs="Times New Roman"/>
          <w:bCs/>
          <w:sz w:val="24"/>
          <w:szCs w:val="24"/>
        </w:rPr>
      </w:pPr>
      <w:r w:rsidRPr="001D7DA9">
        <w:rPr>
          <w:rFonts w:ascii="Times New Roman" w:hAnsi="Times New Roman" w:cs="Times New Roman"/>
          <w:bCs/>
          <w:sz w:val="24"/>
          <w:szCs w:val="24"/>
        </w:rPr>
        <w:t>№ РК-ЛС-5№025217</w:t>
      </w:r>
    </w:p>
    <w:p w14:paraId="277887C7" w14:textId="77777777" w:rsidR="000A4128" w:rsidRDefault="000A4128" w:rsidP="00F602A1">
      <w:pPr>
        <w:autoSpaceDE w:val="0"/>
        <w:autoSpaceDN w:val="0"/>
        <w:spacing w:before="120" w:after="0" w:line="240" w:lineRule="auto"/>
        <w:ind w:right="283"/>
        <w:jc w:val="both"/>
        <w:rPr>
          <w:rFonts w:ascii="Times New Roman" w:eastAsia="Times New Roman" w:hAnsi="Times New Roman" w:cs="Times New Roman"/>
          <w:b/>
          <w:sz w:val="24"/>
          <w:szCs w:val="24"/>
          <w:lang w:val="uk-UA" w:eastAsia="ru-RU"/>
        </w:rPr>
      </w:pPr>
      <w:r w:rsidRPr="00105216">
        <w:rPr>
          <w:rFonts w:ascii="Times New Roman" w:eastAsia="Times New Roman" w:hAnsi="Times New Roman" w:cs="Times New Roman"/>
          <w:b/>
          <w:sz w:val="24"/>
          <w:szCs w:val="24"/>
          <w:lang w:val="uk-UA" w:eastAsia="ru-RU"/>
        </w:rPr>
        <w:t xml:space="preserve">9. </w:t>
      </w:r>
      <w:r w:rsidRPr="00105216">
        <w:rPr>
          <w:rFonts w:ascii="Times New Roman" w:eastAsia="Times New Roman" w:hAnsi="Times New Roman" w:cs="Times New Roman" w:hint="eastAsia"/>
          <w:b/>
          <w:sz w:val="24"/>
          <w:szCs w:val="24"/>
          <w:lang w:val="uk-UA" w:eastAsia="ru-RU"/>
        </w:rPr>
        <w:t>ДАТА</w:t>
      </w:r>
      <w:r w:rsidRPr="00105216">
        <w:rPr>
          <w:rFonts w:ascii="Times New Roman" w:eastAsia="Times New Roman" w:hAnsi="Times New Roman" w:cs="Times New Roman"/>
          <w:b/>
          <w:sz w:val="24"/>
          <w:szCs w:val="24"/>
          <w:lang w:val="uk-UA" w:eastAsia="ru-RU"/>
        </w:rPr>
        <w:t xml:space="preserve"> </w:t>
      </w:r>
      <w:r w:rsidRPr="00105216">
        <w:rPr>
          <w:rFonts w:ascii="Times New Roman" w:eastAsia="Times New Roman" w:hAnsi="Times New Roman" w:cs="Times New Roman" w:hint="eastAsia"/>
          <w:b/>
          <w:sz w:val="24"/>
          <w:szCs w:val="24"/>
          <w:lang w:val="uk-UA" w:eastAsia="ru-RU"/>
        </w:rPr>
        <w:t>ПЕРВИЧНОЙ</w:t>
      </w:r>
      <w:r w:rsidRPr="00105216">
        <w:rPr>
          <w:rFonts w:ascii="Times New Roman" w:eastAsia="Times New Roman" w:hAnsi="Times New Roman" w:cs="Times New Roman"/>
          <w:b/>
          <w:sz w:val="24"/>
          <w:szCs w:val="24"/>
          <w:lang w:val="uk-UA" w:eastAsia="ru-RU"/>
        </w:rPr>
        <w:t xml:space="preserve"> </w:t>
      </w:r>
      <w:r w:rsidRPr="00105216">
        <w:rPr>
          <w:rFonts w:ascii="Times New Roman" w:eastAsia="Times New Roman" w:hAnsi="Times New Roman" w:cs="Times New Roman" w:hint="eastAsia"/>
          <w:b/>
          <w:sz w:val="24"/>
          <w:szCs w:val="24"/>
          <w:lang w:val="uk-UA" w:eastAsia="ru-RU"/>
        </w:rPr>
        <w:t>РЕГИСТРАЦИИ</w:t>
      </w:r>
      <w:r w:rsidRPr="00105216">
        <w:rPr>
          <w:rFonts w:ascii="Times New Roman" w:eastAsia="Times New Roman" w:hAnsi="Times New Roman" w:cs="Times New Roman"/>
          <w:b/>
          <w:sz w:val="24"/>
          <w:szCs w:val="24"/>
          <w:lang w:val="uk-UA" w:eastAsia="ru-RU"/>
        </w:rPr>
        <w:t xml:space="preserve"> (</w:t>
      </w:r>
      <w:r w:rsidRPr="00105216">
        <w:rPr>
          <w:rFonts w:ascii="Times New Roman" w:eastAsia="Times New Roman" w:hAnsi="Times New Roman" w:cs="Times New Roman" w:hint="eastAsia"/>
          <w:b/>
          <w:sz w:val="24"/>
          <w:szCs w:val="24"/>
          <w:lang w:val="uk-UA" w:eastAsia="ru-RU"/>
        </w:rPr>
        <w:t>ПОДТВЕРЖДЕНИЯ</w:t>
      </w:r>
      <w:r w:rsidRPr="00105216">
        <w:rPr>
          <w:rFonts w:ascii="Times New Roman" w:eastAsia="Times New Roman" w:hAnsi="Times New Roman" w:cs="Times New Roman"/>
          <w:b/>
          <w:sz w:val="24"/>
          <w:szCs w:val="24"/>
          <w:lang w:val="uk-UA" w:eastAsia="ru-RU"/>
        </w:rPr>
        <w:t xml:space="preserve"> </w:t>
      </w:r>
      <w:r w:rsidRPr="00105216">
        <w:rPr>
          <w:rFonts w:ascii="Times New Roman" w:eastAsia="Times New Roman" w:hAnsi="Times New Roman" w:cs="Times New Roman" w:hint="eastAsia"/>
          <w:b/>
          <w:sz w:val="24"/>
          <w:szCs w:val="24"/>
          <w:lang w:val="uk-UA" w:eastAsia="ru-RU"/>
        </w:rPr>
        <w:t>РЕГИСТРАЦИИ</w:t>
      </w:r>
      <w:r w:rsidRPr="00105216">
        <w:rPr>
          <w:rFonts w:ascii="Times New Roman" w:eastAsia="Times New Roman" w:hAnsi="Times New Roman" w:cs="Times New Roman"/>
          <w:b/>
          <w:sz w:val="24"/>
          <w:szCs w:val="24"/>
          <w:lang w:val="uk-UA" w:eastAsia="ru-RU"/>
        </w:rPr>
        <w:t xml:space="preserve">, </w:t>
      </w:r>
      <w:r w:rsidRPr="00105216">
        <w:rPr>
          <w:rFonts w:ascii="Times New Roman" w:eastAsia="Times New Roman" w:hAnsi="Times New Roman" w:cs="Times New Roman" w:hint="eastAsia"/>
          <w:b/>
          <w:sz w:val="24"/>
          <w:szCs w:val="24"/>
          <w:lang w:val="uk-UA" w:eastAsia="ru-RU"/>
        </w:rPr>
        <w:t>ПЕРЕРЕГИСТРАЦИИ</w:t>
      </w:r>
      <w:r w:rsidRPr="00105216">
        <w:rPr>
          <w:rFonts w:ascii="Times New Roman" w:eastAsia="Times New Roman" w:hAnsi="Times New Roman" w:cs="Times New Roman"/>
          <w:b/>
          <w:sz w:val="24"/>
          <w:szCs w:val="24"/>
          <w:lang w:val="uk-UA" w:eastAsia="ru-RU"/>
        </w:rPr>
        <w:t>)</w:t>
      </w:r>
    </w:p>
    <w:p w14:paraId="4D48B142" w14:textId="13057E8E" w:rsidR="007324D3" w:rsidRPr="0032527D" w:rsidRDefault="007324D3" w:rsidP="007324D3">
      <w:pPr>
        <w:spacing w:after="0" w:line="240" w:lineRule="auto"/>
        <w:ind w:right="283"/>
        <w:jc w:val="both"/>
        <w:rPr>
          <w:rFonts w:ascii="Times New Roman" w:eastAsia="Microsoft Sans Serif" w:hAnsi="Times New Roman" w:cs="Times New Roman"/>
          <w:sz w:val="24"/>
          <w:szCs w:val="24"/>
          <w:lang w:eastAsia="ru-RU" w:bidi="ru-RU"/>
        </w:rPr>
      </w:pPr>
      <w:r w:rsidRPr="007324D3">
        <w:rPr>
          <w:rFonts w:ascii="Times New Roman" w:eastAsia="Microsoft Sans Serif" w:hAnsi="Times New Roman" w:cs="Times New Roman"/>
          <w:sz w:val="24"/>
          <w:szCs w:val="24"/>
          <w:lang w:eastAsia="ru-RU" w:bidi="ru-RU"/>
        </w:rPr>
        <w:t>16.09.2021</w:t>
      </w:r>
    </w:p>
    <w:p w14:paraId="7ECF62E5" w14:textId="77777777" w:rsidR="000A4128" w:rsidRDefault="000A4128" w:rsidP="00F602A1">
      <w:pPr>
        <w:autoSpaceDE w:val="0"/>
        <w:autoSpaceDN w:val="0"/>
        <w:spacing w:before="120" w:after="0" w:line="240" w:lineRule="auto"/>
        <w:ind w:right="283"/>
        <w:jc w:val="both"/>
        <w:rPr>
          <w:rFonts w:ascii="Times New Roman" w:eastAsia="Times New Roman" w:hAnsi="Times New Roman" w:cs="Times New Roman"/>
          <w:b/>
          <w:sz w:val="24"/>
          <w:szCs w:val="24"/>
          <w:lang w:val="uk-UA" w:eastAsia="ru-RU"/>
        </w:rPr>
      </w:pPr>
      <w:r w:rsidRPr="00105216">
        <w:rPr>
          <w:rFonts w:ascii="Times New Roman" w:eastAsia="Times New Roman" w:hAnsi="Times New Roman" w:cs="Times New Roman"/>
          <w:b/>
          <w:sz w:val="24"/>
          <w:szCs w:val="24"/>
          <w:lang w:val="uk-UA" w:eastAsia="ru-RU"/>
        </w:rPr>
        <w:t xml:space="preserve">10. </w:t>
      </w:r>
      <w:r w:rsidRPr="00105216">
        <w:rPr>
          <w:rFonts w:ascii="Times New Roman" w:eastAsia="Times New Roman" w:hAnsi="Times New Roman" w:cs="Times New Roman" w:hint="eastAsia"/>
          <w:b/>
          <w:sz w:val="24"/>
          <w:szCs w:val="24"/>
          <w:lang w:val="uk-UA" w:eastAsia="ru-RU"/>
        </w:rPr>
        <w:t>ДАТА</w:t>
      </w:r>
      <w:r w:rsidRPr="00105216">
        <w:rPr>
          <w:rFonts w:ascii="Times New Roman" w:eastAsia="Times New Roman" w:hAnsi="Times New Roman" w:cs="Times New Roman"/>
          <w:b/>
          <w:sz w:val="24"/>
          <w:szCs w:val="24"/>
          <w:lang w:val="uk-UA" w:eastAsia="ru-RU"/>
        </w:rPr>
        <w:t xml:space="preserve"> </w:t>
      </w:r>
      <w:r w:rsidRPr="00105216">
        <w:rPr>
          <w:rFonts w:ascii="Times New Roman" w:eastAsia="Times New Roman" w:hAnsi="Times New Roman" w:cs="Times New Roman" w:hint="eastAsia"/>
          <w:b/>
          <w:sz w:val="24"/>
          <w:szCs w:val="24"/>
          <w:lang w:val="uk-UA" w:eastAsia="ru-RU"/>
        </w:rPr>
        <w:t>ПЕРЕСМОТРА</w:t>
      </w:r>
      <w:r w:rsidRPr="00105216">
        <w:rPr>
          <w:rFonts w:ascii="Times New Roman" w:eastAsia="Times New Roman" w:hAnsi="Times New Roman" w:cs="Times New Roman"/>
          <w:b/>
          <w:sz w:val="24"/>
          <w:szCs w:val="24"/>
          <w:lang w:val="uk-UA" w:eastAsia="ru-RU"/>
        </w:rPr>
        <w:t xml:space="preserve"> </w:t>
      </w:r>
      <w:r w:rsidRPr="00105216">
        <w:rPr>
          <w:rFonts w:ascii="Times New Roman" w:eastAsia="Times New Roman" w:hAnsi="Times New Roman" w:cs="Times New Roman" w:hint="eastAsia"/>
          <w:b/>
          <w:sz w:val="24"/>
          <w:szCs w:val="24"/>
          <w:lang w:val="uk-UA" w:eastAsia="ru-RU"/>
        </w:rPr>
        <w:t>ТЕКСТА</w:t>
      </w:r>
    </w:p>
    <w:p w14:paraId="1E3553C0" w14:textId="110F726B" w:rsidR="00F65B02" w:rsidRPr="00FF29E5" w:rsidRDefault="00FF29E5" w:rsidP="00FF29E5">
      <w:pPr>
        <w:spacing w:after="0" w:line="240" w:lineRule="auto"/>
        <w:ind w:right="283"/>
        <w:jc w:val="both"/>
        <w:rPr>
          <w:rFonts w:ascii="Times New Roman" w:hAnsi="Times New Roman" w:cs="Times New Roman"/>
          <w:bCs/>
          <w:sz w:val="24"/>
          <w:szCs w:val="24"/>
          <w:lang w:val="en-US"/>
        </w:rPr>
      </w:pPr>
      <w:r>
        <w:rPr>
          <w:rFonts w:ascii="Times New Roman" w:hAnsi="Times New Roman" w:cs="Times New Roman"/>
          <w:bCs/>
          <w:sz w:val="24"/>
          <w:szCs w:val="24"/>
          <w:lang w:val="en-US"/>
        </w:rPr>
        <w:t>05.03.2024</w:t>
      </w:r>
    </w:p>
    <w:p w14:paraId="4A5E0093" w14:textId="565CE563" w:rsidR="00A72229" w:rsidRPr="00A51F39" w:rsidRDefault="00A72229" w:rsidP="00F602A1">
      <w:pPr>
        <w:spacing w:after="0" w:line="240" w:lineRule="auto"/>
        <w:ind w:right="283"/>
        <w:jc w:val="both"/>
        <w:rPr>
          <w:rFonts w:ascii="Times New Roman" w:hAnsi="Times New Roman" w:cs="Times New Roman"/>
          <w:bCs/>
          <w:sz w:val="24"/>
          <w:szCs w:val="24"/>
        </w:rPr>
      </w:pPr>
      <w:r w:rsidRPr="00BD7305">
        <w:rPr>
          <w:rFonts w:ascii="Times New Roman" w:hAnsi="Times New Roman" w:cs="Times New Roman"/>
          <w:bCs/>
          <w:sz w:val="24"/>
          <w:szCs w:val="24"/>
        </w:rPr>
        <w:lastRenderedPageBreak/>
        <w:t xml:space="preserve">Общая характеристика лекарственного препарата доступна на официальном сайте уполномоченного органа государства </w:t>
      </w:r>
      <w:r w:rsidR="00A51F39">
        <w:rPr>
          <w:rFonts w:ascii="Times New Roman" w:hAnsi="Times New Roman" w:cs="Times New Roman"/>
          <w:bCs/>
          <w:sz w:val="24"/>
          <w:szCs w:val="24"/>
          <w:lang w:val="en-US"/>
        </w:rPr>
        <w:t>www</w:t>
      </w:r>
      <w:r w:rsidR="00A51F39" w:rsidRPr="00A51F39">
        <w:rPr>
          <w:rFonts w:ascii="Times New Roman" w:hAnsi="Times New Roman" w:cs="Times New Roman"/>
          <w:bCs/>
          <w:sz w:val="24"/>
          <w:szCs w:val="24"/>
        </w:rPr>
        <w:t>.</w:t>
      </w:r>
      <w:proofErr w:type="spellStart"/>
      <w:r w:rsidR="00A51F39">
        <w:rPr>
          <w:rFonts w:ascii="Times New Roman" w:hAnsi="Times New Roman" w:cs="Times New Roman"/>
          <w:bCs/>
          <w:sz w:val="24"/>
          <w:szCs w:val="24"/>
          <w:lang w:val="en-US"/>
        </w:rPr>
        <w:t>ndda</w:t>
      </w:r>
      <w:proofErr w:type="spellEnd"/>
      <w:r w:rsidR="00A51F39" w:rsidRPr="00A51F39">
        <w:rPr>
          <w:rFonts w:ascii="Times New Roman" w:hAnsi="Times New Roman" w:cs="Times New Roman"/>
          <w:bCs/>
          <w:sz w:val="24"/>
          <w:szCs w:val="24"/>
        </w:rPr>
        <w:t>.</w:t>
      </w:r>
      <w:proofErr w:type="spellStart"/>
      <w:r w:rsidR="00A51F39">
        <w:rPr>
          <w:rFonts w:ascii="Times New Roman" w:hAnsi="Times New Roman" w:cs="Times New Roman"/>
          <w:bCs/>
          <w:sz w:val="24"/>
          <w:szCs w:val="24"/>
          <w:lang w:val="en-US"/>
        </w:rPr>
        <w:t>kz</w:t>
      </w:r>
      <w:proofErr w:type="spellEnd"/>
    </w:p>
    <w:p w14:paraId="1348E909" w14:textId="77777777" w:rsidR="00657517" w:rsidRPr="00BD7305" w:rsidRDefault="00657517" w:rsidP="00026B81">
      <w:pPr>
        <w:spacing w:after="0" w:line="240" w:lineRule="auto"/>
        <w:ind w:firstLine="708"/>
        <w:jc w:val="both"/>
        <w:rPr>
          <w:rFonts w:ascii="Times New Roman" w:hAnsi="Times New Roman" w:cs="Times New Roman"/>
          <w:bCs/>
          <w:sz w:val="24"/>
          <w:szCs w:val="24"/>
        </w:rPr>
      </w:pPr>
    </w:p>
    <w:sectPr w:rsidR="00657517" w:rsidRPr="00BD73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74228"/>
    <w:multiLevelType w:val="hybridMultilevel"/>
    <w:tmpl w:val="517EBC2E"/>
    <w:lvl w:ilvl="0" w:tplc="692C334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BD70DE"/>
    <w:multiLevelType w:val="hybridMultilevel"/>
    <w:tmpl w:val="AB625BD6"/>
    <w:lvl w:ilvl="0" w:tplc="B8BEC428">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15:restartNumberingAfterBreak="0">
    <w:nsid w:val="1D2E2ED4"/>
    <w:multiLevelType w:val="hybridMultilevel"/>
    <w:tmpl w:val="524A4192"/>
    <w:lvl w:ilvl="0" w:tplc="6BA872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FB451C"/>
    <w:multiLevelType w:val="hybridMultilevel"/>
    <w:tmpl w:val="FA9E2754"/>
    <w:lvl w:ilvl="0" w:tplc="692C334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84794"/>
    <w:multiLevelType w:val="hybridMultilevel"/>
    <w:tmpl w:val="60004062"/>
    <w:lvl w:ilvl="0" w:tplc="6BA872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462E42"/>
    <w:multiLevelType w:val="hybridMultilevel"/>
    <w:tmpl w:val="A6D85690"/>
    <w:lvl w:ilvl="0" w:tplc="CFCC5752">
      <w:start w:val="1"/>
      <w:numFmt w:val="bullet"/>
      <w:lvlText w:val=""/>
      <w:lvlJc w:val="left"/>
      <w:pPr>
        <w:tabs>
          <w:tab w:val="num" w:pos="414"/>
        </w:tabs>
        <w:ind w:left="414" w:hanging="414"/>
      </w:pPr>
      <w:rPr>
        <w:rFonts w:ascii="Symbol" w:hAnsi="Symbol" w:hint="default"/>
      </w:rPr>
    </w:lvl>
    <w:lvl w:ilvl="1" w:tplc="567AEF40">
      <w:start w:val="1"/>
      <w:numFmt w:val="bullet"/>
      <w:lvlText w:val="o"/>
      <w:lvlJc w:val="left"/>
      <w:pPr>
        <w:tabs>
          <w:tab w:val="num" w:pos="1440"/>
        </w:tabs>
        <w:ind w:left="1440" w:hanging="360"/>
      </w:pPr>
      <w:rPr>
        <w:rFonts w:ascii="Courier New" w:hAnsi="Courier New" w:cs="Courier New" w:hint="default"/>
      </w:rPr>
    </w:lvl>
    <w:lvl w:ilvl="2" w:tplc="045226CA">
      <w:start w:val="1"/>
      <w:numFmt w:val="bullet"/>
      <w:lvlText w:val=""/>
      <w:lvlJc w:val="left"/>
      <w:pPr>
        <w:tabs>
          <w:tab w:val="num" w:pos="2160"/>
        </w:tabs>
        <w:ind w:left="2160" w:hanging="360"/>
      </w:pPr>
      <w:rPr>
        <w:rFonts w:ascii="Wingdings" w:hAnsi="Wingdings" w:hint="default"/>
      </w:rPr>
    </w:lvl>
    <w:lvl w:ilvl="3" w:tplc="66CAF098">
      <w:start w:val="1"/>
      <w:numFmt w:val="bullet"/>
      <w:lvlText w:val=""/>
      <w:lvlJc w:val="left"/>
      <w:pPr>
        <w:tabs>
          <w:tab w:val="num" w:pos="2880"/>
        </w:tabs>
        <w:ind w:left="2880" w:hanging="360"/>
      </w:pPr>
      <w:rPr>
        <w:rFonts w:ascii="Symbol" w:hAnsi="Symbol" w:hint="default"/>
      </w:rPr>
    </w:lvl>
    <w:lvl w:ilvl="4" w:tplc="7DDA8312">
      <w:start w:val="1"/>
      <w:numFmt w:val="bullet"/>
      <w:lvlText w:val="o"/>
      <w:lvlJc w:val="left"/>
      <w:pPr>
        <w:tabs>
          <w:tab w:val="num" w:pos="3600"/>
        </w:tabs>
        <w:ind w:left="3600" w:hanging="360"/>
      </w:pPr>
      <w:rPr>
        <w:rFonts w:ascii="Courier New" w:hAnsi="Courier New" w:cs="Courier New" w:hint="default"/>
      </w:rPr>
    </w:lvl>
    <w:lvl w:ilvl="5" w:tplc="A802E2CC">
      <w:start w:val="1"/>
      <w:numFmt w:val="bullet"/>
      <w:lvlText w:val=""/>
      <w:lvlJc w:val="left"/>
      <w:pPr>
        <w:tabs>
          <w:tab w:val="num" w:pos="4320"/>
        </w:tabs>
        <w:ind w:left="4320" w:hanging="360"/>
      </w:pPr>
      <w:rPr>
        <w:rFonts w:ascii="Wingdings" w:hAnsi="Wingdings" w:hint="default"/>
      </w:rPr>
    </w:lvl>
    <w:lvl w:ilvl="6" w:tplc="45425F0C">
      <w:start w:val="1"/>
      <w:numFmt w:val="bullet"/>
      <w:lvlText w:val=""/>
      <w:lvlJc w:val="left"/>
      <w:pPr>
        <w:tabs>
          <w:tab w:val="num" w:pos="5040"/>
        </w:tabs>
        <w:ind w:left="5040" w:hanging="360"/>
      </w:pPr>
      <w:rPr>
        <w:rFonts w:ascii="Symbol" w:hAnsi="Symbol" w:hint="default"/>
      </w:rPr>
    </w:lvl>
    <w:lvl w:ilvl="7" w:tplc="CA828588">
      <w:start w:val="1"/>
      <w:numFmt w:val="bullet"/>
      <w:lvlText w:val="o"/>
      <w:lvlJc w:val="left"/>
      <w:pPr>
        <w:tabs>
          <w:tab w:val="num" w:pos="5760"/>
        </w:tabs>
        <w:ind w:left="5760" w:hanging="360"/>
      </w:pPr>
      <w:rPr>
        <w:rFonts w:ascii="Courier New" w:hAnsi="Courier New" w:cs="Courier New" w:hint="default"/>
      </w:rPr>
    </w:lvl>
    <w:lvl w:ilvl="8" w:tplc="3AC28D70">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1957BF"/>
    <w:multiLevelType w:val="hybridMultilevel"/>
    <w:tmpl w:val="E74A98D0"/>
    <w:lvl w:ilvl="0" w:tplc="EBA0168A">
      <w:start w:val="1"/>
      <w:numFmt w:val="bullet"/>
      <w:lvlText w:val=""/>
      <w:lvlJc w:val="left"/>
      <w:pPr>
        <w:tabs>
          <w:tab w:val="num" w:pos="414"/>
        </w:tabs>
        <w:ind w:left="414" w:hanging="414"/>
      </w:pPr>
      <w:rPr>
        <w:rFonts w:ascii="Symbol" w:hAnsi="Symbol" w:hint="default"/>
      </w:rPr>
    </w:lvl>
    <w:lvl w:ilvl="1" w:tplc="32262AF4">
      <w:start w:val="1"/>
      <w:numFmt w:val="bullet"/>
      <w:lvlText w:val="o"/>
      <w:lvlJc w:val="left"/>
      <w:pPr>
        <w:tabs>
          <w:tab w:val="num" w:pos="1440"/>
        </w:tabs>
        <w:ind w:left="1440" w:hanging="360"/>
      </w:pPr>
      <w:rPr>
        <w:rFonts w:ascii="Courier New" w:hAnsi="Courier New" w:cs="Courier New" w:hint="default"/>
      </w:rPr>
    </w:lvl>
    <w:lvl w:ilvl="2" w:tplc="5C9C541A">
      <w:start w:val="1"/>
      <w:numFmt w:val="bullet"/>
      <w:lvlText w:val=""/>
      <w:lvlJc w:val="left"/>
      <w:pPr>
        <w:tabs>
          <w:tab w:val="num" w:pos="2160"/>
        </w:tabs>
        <w:ind w:left="2160" w:hanging="360"/>
      </w:pPr>
      <w:rPr>
        <w:rFonts w:ascii="Wingdings" w:hAnsi="Wingdings" w:hint="default"/>
      </w:rPr>
    </w:lvl>
    <w:lvl w:ilvl="3" w:tplc="FD68291E">
      <w:start w:val="1"/>
      <w:numFmt w:val="bullet"/>
      <w:lvlText w:val=""/>
      <w:lvlJc w:val="left"/>
      <w:pPr>
        <w:tabs>
          <w:tab w:val="num" w:pos="2880"/>
        </w:tabs>
        <w:ind w:left="2880" w:hanging="360"/>
      </w:pPr>
      <w:rPr>
        <w:rFonts w:ascii="Symbol" w:hAnsi="Symbol" w:hint="default"/>
      </w:rPr>
    </w:lvl>
    <w:lvl w:ilvl="4" w:tplc="CB1EE8F4">
      <w:start w:val="1"/>
      <w:numFmt w:val="bullet"/>
      <w:lvlText w:val="o"/>
      <w:lvlJc w:val="left"/>
      <w:pPr>
        <w:tabs>
          <w:tab w:val="num" w:pos="3600"/>
        </w:tabs>
        <w:ind w:left="3600" w:hanging="360"/>
      </w:pPr>
      <w:rPr>
        <w:rFonts w:ascii="Courier New" w:hAnsi="Courier New" w:cs="Courier New" w:hint="default"/>
      </w:rPr>
    </w:lvl>
    <w:lvl w:ilvl="5" w:tplc="66EA837A">
      <w:start w:val="1"/>
      <w:numFmt w:val="bullet"/>
      <w:lvlText w:val=""/>
      <w:lvlJc w:val="left"/>
      <w:pPr>
        <w:tabs>
          <w:tab w:val="num" w:pos="4320"/>
        </w:tabs>
        <w:ind w:left="4320" w:hanging="360"/>
      </w:pPr>
      <w:rPr>
        <w:rFonts w:ascii="Wingdings" w:hAnsi="Wingdings" w:hint="default"/>
      </w:rPr>
    </w:lvl>
    <w:lvl w:ilvl="6" w:tplc="744E7960">
      <w:start w:val="1"/>
      <w:numFmt w:val="bullet"/>
      <w:lvlText w:val=""/>
      <w:lvlJc w:val="left"/>
      <w:pPr>
        <w:tabs>
          <w:tab w:val="num" w:pos="5040"/>
        </w:tabs>
        <w:ind w:left="5040" w:hanging="360"/>
      </w:pPr>
      <w:rPr>
        <w:rFonts w:ascii="Symbol" w:hAnsi="Symbol" w:hint="default"/>
      </w:rPr>
    </w:lvl>
    <w:lvl w:ilvl="7" w:tplc="F01886C4">
      <w:start w:val="1"/>
      <w:numFmt w:val="bullet"/>
      <w:lvlText w:val="o"/>
      <w:lvlJc w:val="left"/>
      <w:pPr>
        <w:tabs>
          <w:tab w:val="num" w:pos="5760"/>
        </w:tabs>
        <w:ind w:left="5760" w:hanging="360"/>
      </w:pPr>
      <w:rPr>
        <w:rFonts w:ascii="Courier New" w:hAnsi="Courier New" w:cs="Courier New" w:hint="default"/>
      </w:rPr>
    </w:lvl>
    <w:lvl w:ilvl="8" w:tplc="88B05E8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0F2BE3"/>
    <w:multiLevelType w:val="hybridMultilevel"/>
    <w:tmpl w:val="DEEC8D44"/>
    <w:lvl w:ilvl="0" w:tplc="6BA872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2F3423"/>
    <w:multiLevelType w:val="hybridMultilevel"/>
    <w:tmpl w:val="AC68A65E"/>
    <w:lvl w:ilvl="0" w:tplc="7CA6566A">
      <w:start w:val="1"/>
      <w:numFmt w:val="bullet"/>
      <w:lvlText w:val=""/>
      <w:lvlJc w:val="left"/>
      <w:pPr>
        <w:tabs>
          <w:tab w:val="num" w:pos="414"/>
        </w:tabs>
        <w:ind w:left="414" w:hanging="414"/>
      </w:pPr>
      <w:rPr>
        <w:rFonts w:ascii="Symbol" w:hAnsi="Symbol" w:hint="default"/>
      </w:rPr>
    </w:lvl>
    <w:lvl w:ilvl="1" w:tplc="8B1655FA">
      <w:start w:val="1"/>
      <w:numFmt w:val="bullet"/>
      <w:lvlText w:val="o"/>
      <w:lvlJc w:val="left"/>
      <w:pPr>
        <w:tabs>
          <w:tab w:val="num" w:pos="1440"/>
        </w:tabs>
        <w:ind w:left="1440" w:hanging="360"/>
      </w:pPr>
      <w:rPr>
        <w:rFonts w:ascii="Courier New" w:hAnsi="Courier New" w:cs="Courier New" w:hint="default"/>
      </w:rPr>
    </w:lvl>
    <w:lvl w:ilvl="2" w:tplc="D63EABB2">
      <w:start w:val="1"/>
      <w:numFmt w:val="bullet"/>
      <w:lvlText w:val=""/>
      <w:lvlJc w:val="left"/>
      <w:pPr>
        <w:tabs>
          <w:tab w:val="num" w:pos="2160"/>
        </w:tabs>
        <w:ind w:left="2160" w:hanging="360"/>
      </w:pPr>
      <w:rPr>
        <w:rFonts w:ascii="Wingdings" w:hAnsi="Wingdings" w:hint="default"/>
      </w:rPr>
    </w:lvl>
    <w:lvl w:ilvl="3" w:tplc="57BA0B76">
      <w:start w:val="1"/>
      <w:numFmt w:val="bullet"/>
      <w:lvlText w:val=""/>
      <w:lvlJc w:val="left"/>
      <w:pPr>
        <w:tabs>
          <w:tab w:val="num" w:pos="2880"/>
        </w:tabs>
        <w:ind w:left="2880" w:hanging="360"/>
      </w:pPr>
      <w:rPr>
        <w:rFonts w:ascii="Symbol" w:hAnsi="Symbol" w:hint="default"/>
      </w:rPr>
    </w:lvl>
    <w:lvl w:ilvl="4" w:tplc="193688F6">
      <w:start w:val="1"/>
      <w:numFmt w:val="bullet"/>
      <w:lvlText w:val="o"/>
      <w:lvlJc w:val="left"/>
      <w:pPr>
        <w:tabs>
          <w:tab w:val="num" w:pos="3600"/>
        </w:tabs>
        <w:ind w:left="3600" w:hanging="360"/>
      </w:pPr>
      <w:rPr>
        <w:rFonts w:ascii="Courier New" w:hAnsi="Courier New" w:cs="Courier New" w:hint="default"/>
      </w:rPr>
    </w:lvl>
    <w:lvl w:ilvl="5" w:tplc="CF6C133E">
      <w:start w:val="1"/>
      <w:numFmt w:val="bullet"/>
      <w:lvlText w:val=""/>
      <w:lvlJc w:val="left"/>
      <w:pPr>
        <w:tabs>
          <w:tab w:val="num" w:pos="4320"/>
        </w:tabs>
        <w:ind w:left="4320" w:hanging="360"/>
      </w:pPr>
      <w:rPr>
        <w:rFonts w:ascii="Wingdings" w:hAnsi="Wingdings" w:hint="default"/>
      </w:rPr>
    </w:lvl>
    <w:lvl w:ilvl="6" w:tplc="B85AC934">
      <w:start w:val="1"/>
      <w:numFmt w:val="bullet"/>
      <w:lvlText w:val=""/>
      <w:lvlJc w:val="left"/>
      <w:pPr>
        <w:tabs>
          <w:tab w:val="num" w:pos="5040"/>
        </w:tabs>
        <w:ind w:left="5040" w:hanging="360"/>
      </w:pPr>
      <w:rPr>
        <w:rFonts w:ascii="Symbol" w:hAnsi="Symbol" w:hint="default"/>
      </w:rPr>
    </w:lvl>
    <w:lvl w:ilvl="7" w:tplc="52A867A2">
      <w:start w:val="1"/>
      <w:numFmt w:val="bullet"/>
      <w:lvlText w:val="o"/>
      <w:lvlJc w:val="left"/>
      <w:pPr>
        <w:tabs>
          <w:tab w:val="num" w:pos="5760"/>
        </w:tabs>
        <w:ind w:left="5760" w:hanging="360"/>
      </w:pPr>
      <w:rPr>
        <w:rFonts w:ascii="Courier New" w:hAnsi="Courier New" w:cs="Courier New" w:hint="default"/>
      </w:rPr>
    </w:lvl>
    <w:lvl w:ilvl="8" w:tplc="4FE20C04">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1E18FC"/>
    <w:multiLevelType w:val="hybridMultilevel"/>
    <w:tmpl w:val="6DC6CDD2"/>
    <w:lvl w:ilvl="0" w:tplc="6BA872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A764B7"/>
    <w:multiLevelType w:val="hybridMultilevel"/>
    <w:tmpl w:val="38B4C6FA"/>
    <w:lvl w:ilvl="0" w:tplc="6BA872F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41B6662"/>
    <w:multiLevelType w:val="hybridMultilevel"/>
    <w:tmpl w:val="0C602C68"/>
    <w:lvl w:ilvl="0" w:tplc="6BA872FE">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2" w15:restartNumberingAfterBreak="0">
    <w:nsid w:val="58CB2533"/>
    <w:multiLevelType w:val="hybridMultilevel"/>
    <w:tmpl w:val="8C982FAE"/>
    <w:lvl w:ilvl="0" w:tplc="692C334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C462CED"/>
    <w:multiLevelType w:val="hybridMultilevel"/>
    <w:tmpl w:val="7DF20CDE"/>
    <w:lvl w:ilvl="0" w:tplc="6BA872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2D7ADD"/>
    <w:multiLevelType w:val="hybridMultilevel"/>
    <w:tmpl w:val="901A9F62"/>
    <w:lvl w:ilvl="0" w:tplc="5CE4108A">
      <w:start w:val="1"/>
      <w:numFmt w:val="bullet"/>
      <w:lvlText w:val=""/>
      <w:lvlJc w:val="left"/>
      <w:pPr>
        <w:tabs>
          <w:tab w:val="num" w:pos="414"/>
        </w:tabs>
        <w:ind w:left="414" w:hanging="414"/>
      </w:pPr>
      <w:rPr>
        <w:rFonts w:ascii="Symbol" w:hAnsi="Symbol" w:hint="default"/>
      </w:rPr>
    </w:lvl>
    <w:lvl w:ilvl="1" w:tplc="E22E7CFC">
      <w:start w:val="1"/>
      <w:numFmt w:val="bullet"/>
      <w:lvlText w:val="o"/>
      <w:lvlJc w:val="left"/>
      <w:pPr>
        <w:tabs>
          <w:tab w:val="num" w:pos="1440"/>
        </w:tabs>
        <w:ind w:left="1440" w:hanging="360"/>
      </w:pPr>
      <w:rPr>
        <w:rFonts w:ascii="Courier New" w:hAnsi="Courier New" w:cs="Courier New" w:hint="default"/>
      </w:rPr>
    </w:lvl>
    <w:lvl w:ilvl="2" w:tplc="3858EC4C">
      <w:start w:val="1"/>
      <w:numFmt w:val="bullet"/>
      <w:lvlText w:val=""/>
      <w:lvlJc w:val="left"/>
      <w:pPr>
        <w:tabs>
          <w:tab w:val="num" w:pos="2160"/>
        </w:tabs>
        <w:ind w:left="2160" w:hanging="360"/>
      </w:pPr>
      <w:rPr>
        <w:rFonts w:ascii="Wingdings" w:hAnsi="Wingdings" w:hint="default"/>
      </w:rPr>
    </w:lvl>
    <w:lvl w:ilvl="3" w:tplc="CFA0EBDA">
      <w:start w:val="1"/>
      <w:numFmt w:val="bullet"/>
      <w:lvlText w:val=""/>
      <w:lvlJc w:val="left"/>
      <w:pPr>
        <w:tabs>
          <w:tab w:val="num" w:pos="2880"/>
        </w:tabs>
        <w:ind w:left="2880" w:hanging="360"/>
      </w:pPr>
      <w:rPr>
        <w:rFonts w:ascii="Symbol" w:hAnsi="Symbol" w:hint="default"/>
      </w:rPr>
    </w:lvl>
    <w:lvl w:ilvl="4" w:tplc="9732C51C">
      <w:start w:val="1"/>
      <w:numFmt w:val="bullet"/>
      <w:lvlText w:val="o"/>
      <w:lvlJc w:val="left"/>
      <w:pPr>
        <w:tabs>
          <w:tab w:val="num" w:pos="3600"/>
        </w:tabs>
        <w:ind w:left="3600" w:hanging="360"/>
      </w:pPr>
      <w:rPr>
        <w:rFonts w:ascii="Courier New" w:hAnsi="Courier New" w:cs="Courier New" w:hint="default"/>
      </w:rPr>
    </w:lvl>
    <w:lvl w:ilvl="5" w:tplc="4856A31E">
      <w:start w:val="1"/>
      <w:numFmt w:val="bullet"/>
      <w:lvlText w:val=""/>
      <w:lvlJc w:val="left"/>
      <w:pPr>
        <w:tabs>
          <w:tab w:val="num" w:pos="4320"/>
        </w:tabs>
        <w:ind w:left="4320" w:hanging="360"/>
      </w:pPr>
      <w:rPr>
        <w:rFonts w:ascii="Wingdings" w:hAnsi="Wingdings" w:hint="default"/>
      </w:rPr>
    </w:lvl>
    <w:lvl w:ilvl="6" w:tplc="36166270">
      <w:start w:val="1"/>
      <w:numFmt w:val="bullet"/>
      <w:lvlText w:val=""/>
      <w:lvlJc w:val="left"/>
      <w:pPr>
        <w:tabs>
          <w:tab w:val="num" w:pos="5040"/>
        </w:tabs>
        <w:ind w:left="5040" w:hanging="360"/>
      </w:pPr>
      <w:rPr>
        <w:rFonts w:ascii="Symbol" w:hAnsi="Symbol" w:hint="default"/>
      </w:rPr>
    </w:lvl>
    <w:lvl w:ilvl="7" w:tplc="DC6E0C74">
      <w:start w:val="1"/>
      <w:numFmt w:val="bullet"/>
      <w:lvlText w:val="o"/>
      <w:lvlJc w:val="left"/>
      <w:pPr>
        <w:tabs>
          <w:tab w:val="num" w:pos="5760"/>
        </w:tabs>
        <w:ind w:left="5760" w:hanging="360"/>
      </w:pPr>
      <w:rPr>
        <w:rFonts w:ascii="Courier New" w:hAnsi="Courier New" w:cs="Courier New" w:hint="default"/>
      </w:rPr>
    </w:lvl>
    <w:lvl w:ilvl="8" w:tplc="21482662">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C8369E"/>
    <w:multiLevelType w:val="hybridMultilevel"/>
    <w:tmpl w:val="E132ECAE"/>
    <w:lvl w:ilvl="0" w:tplc="2A50BE18">
      <w:start w:val="1"/>
      <w:numFmt w:val="bullet"/>
      <w:lvlText w:val=""/>
      <w:lvlJc w:val="left"/>
      <w:pPr>
        <w:tabs>
          <w:tab w:val="num" w:pos="414"/>
        </w:tabs>
        <w:ind w:left="414" w:hanging="414"/>
      </w:pPr>
      <w:rPr>
        <w:rFonts w:ascii="Symbol" w:hAnsi="Symbol" w:hint="default"/>
      </w:rPr>
    </w:lvl>
    <w:lvl w:ilvl="1" w:tplc="1C32FA6A">
      <w:start w:val="1"/>
      <w:numFmt w:val="bullet"/>
      <w:lvlText w:val="o"/>
      <w:lvlJc w:val="left"/>
      <w:pPr>
        <w:tabs>
          <w:tab w:val="num" w:pos="1440"/>
        </w:tabs>
        <w:ind w:left="1440" w:hanging="360"/>
      </w:pPr>
      <w:rPr>
        <w:rFonts w:ascii="Courier New" w:hAnsi="Courier New" w:cs="Courier New" w:hint="default"/>
      </w:rPr>
    </w:lvl>
    <w:lvl w:ilvl="2" w:tplc="5A56ED56">
      <w:start w:val="1"/>
      <w:numFmt w:val="bullet"/>
      <w:lvlText w:val=""/>
      <w:lvlJc w:val="left"/>
      <w:pPr>
        <w:tabs>
          <w:tab w:val="num" w:pos="2160"/>
        </w:tabs>
        <w:ind w:left="2160" w:hanging="360"/>
      </w:pPr>
      <w:rPr>
        <w:rFonts w:ascii="Wingdings" w:hAnsi="Wingdings" w:hint="default"/>
      </w:rPr>
    </w:lvl>
    <w:lvl w:ilvl="3" w:tplc="935216E4">
      <w:start w:val="1"/>
      <w:numFmt w:val="bullet"/>
      <w:lvlText w:val=""/>
      <w:lvlJc w:val="left"/>
      <w:pPr>
        <w:tabs>
          <w:tab w:val="num" w:pos="2880"/>
        </w:tabs>
        <w:ind w:left="2880" w:hanging="360"/>
      </w:pPr>
      <w:rPr>
        <w:rFonts w:ascii="Symbol" w:hAnsi="Symbol" w:hint="default"/>
      </w:rPr>
    </w:lvl>
    <w:lvl w:ilvl="4" w:tplc="7BF037F8">
      <w:start w:val="1"/>
      <w:numFmt w:val="bullet"/>
      <w:lvlText w:val="o"/>
      <w:lvlJc w:val="left"/>
      <w:pPr>
        <w:tabs>
          <w:tab w:val="num" w:pos="3600"/>
        </w:tabs>
        <w:ind w:left="3600" w:hanging="360"/>
      </w:pPr>
      <w:rPr>
        <w:rFonts w:ascii="Courier New" w:hAnsi="Courier New" w:cs="Courier New" w:hint="default"/>
      </w:rPr>
    </w:lvl>
    <w:lvl w:ilvl="5" w:tplc="72941D04">
      <w:start w:val="1"/>
      <w:numFmt w:val="bullet"/>
      <w:lvlText w:val=""/>
      <w:lvlJc w:val="left"/>
      <w:pPr>
        <w:tabs>
          <w:tab w:val="num" w:pos="4320"/>
        </w:tabs>
        <w:ind w:left="4320" w:hanging="360"/>
      </w:pPr>
      <w:rPr>
        <w:rFonts w:ascii="Wingdings" w:hAnsi="Wingdings" w:hint="default"/>
      </w:rPr>
    </w:lvl>
    <w:lvl w:ilvl="6" w:tplc="A95CB034">
      <w:start w:val="1"/>
      <w:numFmt w:val="bullet"/>
      <w:lvlText w:val=""/>
      <w:lvlJc w:val="left"/>
      <w:pPr>
        <w:tabs>
          <w:tab w:val="num" w:pos="5040"/>
        </w:tabs>
        <w:ind w:left="5040" w:hanging="360"/>
      </w:pPr>
      <w:rPr>
        <w:rFonts w:ascii="Symbol" w:hAnsi="Symbol" w:hint="default"/>
      </w:rPr>
    </w:lvl>
    <w:lvl w:ilvl="7" w:tplc="2F949C52">
      <w:start w:val="1"/>
      <w:numFmt w:val="bullet"/>
      <w:lvlText w:val="o"/>
      <w:lvlJc w:val="left"/>
      <w:pPr>
        <w:tabs>
          <w:tab w:val="num" w:pos="5760"/>
        </w:tabs>
        <w:ind w:left="5760" w:hanging="360"/>
      </w:pPr>
      <w:rPr>
        <w:rFonts w:ascii="Courier New" w:hAnsi="Courier New" w:cs="Courier New" w:hint="default"/>
      </w:rPr>
    </w:lvl>
    <w:lvl w:ilvl="8" w:tplc="9AE0284C">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CA115D"/>
    <w:multiLevelType w:val="hybridMultilevel"/>
    <w:tmpl w:val="AF62E590"/>
    <w:lvl w:ilvl="0" w:tplc="6BA872FE">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7" w15:restartNumberingAfterBreak="0">
    <w:nsid w:val="68282580"/>
    <w:multiLevelType w:val="hybridMultilevel"/>
    <w:tmpl w:val="8CE83230"/>
    <w:lvl w:ilvl="0" w:tplc="2BEA06B2">
      <w:start w:val="1"/>
      <w:numFmt w:val="bullet"/>
      <w:lvlText w:val=""/>
      <w:lvlJc w:val="left"/>
      <w:pPr>
        <w:tabs>
          <w:tab w:val="num" w:pos="414"/>
        </w:tabs>
        <w:ind w:left="414" w:hanging="414"/>
      </w:pPr>
      <w:rPr>
        <w:rFonts w:ascii="Symbol" w:hAnsi="Symbol" w:hint="default"/>
      </w:rPr>
    </w:lvl>
    <w:lvl w:ilvl="1" w:tplc="1AB4B5A6">
      <w:start w:val="1"/>
      <w:numFmt w:val="bullet"/>
      <w:lvlText w:val="o"/>
      <w:lvlJc w:val="left"/>
      <w:pPr>
        <w:tabs>
          <w:tab w:val="num" w:pos="1440"/>
        </w:tabs>
        <w:ind w:left="1440" w:hanging="360"/>
      </w:pPr>
      <w:rPr>
        <w:rFonts w:ascii="Courier New" w:hAnsi="Courier New" w:cs="Courier New" w:hint="default"/>
      </w:rPr>
    </w:lvl>
    <w:lvl w:ilvl="2" w:tplc="3C8AFE78">
      <w:start w:val="1"/>
      <w:numFmt w:val="bullet"/>
      <w:lvlText w:val=""/>
      <w:lvlJc w:val="left"/>
      <w:pPr>
        <w:tabs>
          <w:tab w:val="num" w:pos="2160"/>
        </w:tabs>
        <w:ind w:left="2160" w:hanging="360"/>
      </w:pPr>
      <w:rPr>
        <w:rFonts w:ascii="Wingdings" w:hAnsi="Wingdings" w:hint="default"/>
      </w:rPr>
    </w:lvl>
    <w:lvl w:ilvl="3" w:tplc="D52C7396">
      <w:start w:val="1"/>
      <w:numFmt w:val="bullet"/>
      <w:lvlText w:val=""/>
      <w:lvlJc w:val="left"/>
      <w:pPr>
        <w:tabs>
          <w:tab w:val="num" w:pos="2880"/>
        </w:tabs>
        <w:ind w:left="2880" w:hanging="360"/>
      </w:pPr>
      <w:rPr>
        <w:rFonts w:ascii="Symbol" w:hAnsi="Symbol" w:hint="default"/>
      </w:rPr>
    </w:lvl>
    <w:lvl w:ilvl="4" w:tplc="AA7268F4">
      <w:start w:val="1"/>
      <w:numFmt w:val="bullet"/>
      <w:lvlText w:val="o"/>
      <w:lvlJc w:val="left"/>
      <w:pPr>
        <w:tabs>
          <w:tab w:val="num" w:pos="3600"/>
        </w:tabs>
        <w:ind w:left="3600" w:hanging="360"/>
      </w:pPr>
      <w:rPr>
        <w:rFonts w:ascii="Courier New" w:hAnsi="Courier New" w:cs="Courier New" w:hint="default"/>
      </w:rPr>
    </w:lvl>
    <w:lvl w:ilvl="5" w:tplc="D5E2BF18">
      <w:start w:val="1"/>
      <w:numFmt w:val="bullet"/>
      <w:lvlText w:val=""/>
      <w:lvlJc w:val="left"/>
      <w:pPr>
        <w:tabs>
          <w:tab w:val="num" w:pos="4320"/>
        </w:tabs>
        <w:ind w:left="4320" w:hanging="360"/>
      </w:pPr>
      <w:rPr>
        <w:rFonts w:ascii="Wingdings" w:hAnsi="Wingdings" w:hint="default"/>
      </w:rPr>
    </w:lvl>
    <w:lvl w:ilvl="6" w:tplc="B156B56C">
      <w:start w:val="1"/>
      <w:numFmt w:val="bullet"/>
      <w:lvlText w:val=""/>
      <w:lvlJc w:val="left"/>
      <w:pPr>
        <w:tabs>
          <w:tab w:val="num" w:pos="5040"/>
        </w:tabs>
        <w:ind w:left="5040" w:hanging="360"/>
      </w:pPr>
      <w:rPr>
        <w:rFonts w:ascii="Symbol" w:hAnsi="Symbol" w:hint="default"/>
      </w:rPr>
    </w:lvl>
    <w:lvl w:ilvl="7" w:tplc="90D81018">
      <w:start w:val="1"/>
      <w:numFmt w:val="bullet"/>
      <w:lvlText w:val="o"/>
      <w:lvlJc w:val="left"/>
      <w:pPr>
        <w:tabs>
          <w:tab w:val="num" w:pos="5760"/>
        </w:tabs>
        <w:ind w:left="5760" w:hanging="360"/>
      </w:pPr>
      <w:rPr>
        <w:rFonts w:ascii="Courier New" w:hAnsi="Courier New" w:cs="Courier New" w:hint="default"/>
      </w:rPr>
    </w:lvl>
    <w:lvl w:ilvl="8" w:tplc="A986211A">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9D6307"/>
    <w:multiLevelType w:val="hybridMultilevel"/>
    <w:tmpl w:val="53DA59EE"/>
    <w:lvl w:ilvl="0" w:tplc="DE1EC806">
      <w:start w:val="1"/>
      <w:numFmt w:val="bullet"/>
      <w:lvlText w:val=""/>
      <w:lvlJc w:val="left"/>
      <w:pPr>
        <w:tabs>
          <w:tab w:val="num" w:pos="414"/>
        </w:tabs>
        <w:ind w:left="414" w:hanging="414"/>
      </w:pPr>
      <w:rPr>
        <w:rFonts w:ascii="Symbol" w:hAnsi="Symbol" w:hint="default"/>
      </w:rPr>
    </w:lvl>
    <w:lvl w:ilvl="1" w:tplc="4474A34E">
      <w:start w:val="1"/>
      <w:numFmt w:val="bullet"/>
      <w:lvlText w:val="o"/>
      <w:lvlJc w:val="left"/>
      <w:pPr>
        <w:tabs>
          <w:tab w:val="num" w:pos="1440"/>
        </w:tabs>
        <w:ind w:left="1440" w:hanging="360"/>
      </w:pPr>
      <w:rPr>
        <w:rFonts w:ascii="Courier New" w:hAnsi="Courier New" w:cs="Courier New" w:hint="default"/>
      </w:rPr>
    </w:lvl>
    <w:lvl w:ilvl="2" w:tplc="8E9A15C6">
      <w:start w:val="1"/>
      <w:numFmt w:val="bullet"/>
      <w:lvlText w:val=""/>
      <w:lvlJc w:val="left"/>
      <w:pPr>
        <w:tabs>
          <w:tab w:val="num" w:pos="2160"/>
        </w:tabs>
        <w:ind w:left="2160" w:hanging="360"/>
      </w:pPr>
      <w:rPr>
        <w:rFonts w:ascii="Wingdings" w:hAnsi="Wingdings" w:hint="default"/>
      </w:rPr>
    </w:lvl>
    <w:lvl w:ilvl="3" w:tplc="B1FC8116">
      <w:start w:val="1"/>
      <w:numFmt w:val="bullet"/>
      <w:lvlText w:val=""/>
      <w:lvlJc w:val="left"/>
      <w:pPr>
        <w:tabs>
          <w:tab w:val="num" w:pos="2880"/>
        </w:tabs>
        <w:ind w:left="2880" w:hanging="360"/>
      </w:pPr>
      <w:rPr>
        <w:rFonts w:ascii="Symbol" w:hAnsi="Symbol" w:hint="default"/>
      </w:rPr>
    </w:lvl>
    <w:lvl w:ilvl="4" w:tplc="B0E6E6BA">
      <w:start w:val="1"/>
      <w:numFmt w:val="bullet"/>
      <w:lvlText w:val="o"/>
      <w:lvlJc w:val="left"/>
      <w:pPr>
        <w:tabs>
          <w:tab w:val="num" w:pos="3600"/>
        </w:tabs>
        <w:ind w:left="3600" w:hanging="360"/>
      </w:pPr>
      <w:rPr>
        <w:rFonts w:ascii="Courier New" w:hAnsi="Courier New" w:cs="Courier New" w:hint="default"/>
      </w:rPr>
    </w:lvl>
    <w:lvl w:ilvl="5" w:tplc="2F74D9F8">
      <w:start w:val="1"/>
      <w:numFmt w:val="bullet"/>
      <w:lvlText w:val=""/>
      <w:lvlJc w:val="left"/>
      <w:pPr>
        <w:tabs>
          <w:tab w:val="num" w:pos="4320"/>
        </w:tabs>
        <w:ind w:left="4320" w:hanging="360"/>
      </w:pPr>
      <w:rPr>
        <w:rFonts w:ascii="Wingdings" w:hAnsi="Wingdings" w:hint="default"/>
      </w:rPr>
    </w:lvl>
    <w:lvl w:ilvl="6" w:tplc="AC64E83A">
      <w:start w:val="1"/>
      <w:numFmt w:val="bullet"/>
      <w:lvlText w:val=""/>
      <w:lvlJc w:val="left"/>
      <w:pPr>
        <w:tabs>
          <w:tab w:val="num" w:pos="5040"/>
        </w:tabs>
        <w:ind w:left="5040" w:hanging="360"/>
      </w:pPr>
      <w:rPr>
        <w:rFonts w:ascii="Symbol" w:hAnsi="Symbol" w:hint="default"/>
      </w:rPr>
    </w:lvl>
    <w:lvl w:ilvl="7" w:tplc="9CA60E1A">
      <w:start w:val="1"/>
      <w:numFmt w:val="bullet"/>
      <w:lvlText w:val="o"/>
      <w:lvlJc w:val="left"/>
      <w:pPr>
        <w:tabs>
          <w:tab w:val="num" w:pos="5760"/>
        </w:tabs>
        <w:ind w:left="5760" w:hanging="360"/>
      </w:pPr>
      <w:rPr>
        <w:rFonts w:ascii="Courier New" w:hAnsi="Courier New" w:cs="Courier New" w:hint="default"/>
      </w:rPr>
    </w:lvl>
    <w:lvl w:ilvl="8" w:tplc="778E21BC">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AD441B"/>
    <w:multiLevelType w:val="hybridMultilevel"/>
    <w:tmpl w:val="EB84B220"/>
    <w:lvl w:ilvl="0" w:tplc="6BA872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2350ED"/>
    <w:multiLevelType w:val="hybridMultilevel"/>
    <w:tmpl w:val="B8EA79B8"/>
    <w:lvl w:ilvl="0" w:tplc="6C821152">
      <w:start w:val="1"/>
      <w:numFmt w:val="bullet"/>
      <w:lvlText w:val=""/>
      <w:lvlJc w:val="left"/>
      <w:pPr>
        <w:tabs>
          <w:tab w:val="num" w:pos="414"/>
        </w:tabs>
        <w:ind w:left="414" w:hanging="414"/>
      </w:pPr>
      <w:rPr>
        <w:rFonts w:ascii="Symbol" w:hAnsi="Symbol" w:hint="default"/>
      </w:rPr>
    </w:lvl>
    <w:lvl w:ilvl="1" w:tplc="B2C85130">
      <w:start w:val="1"/>
      <w:numFmt w:val="bullet"/>
      <w:lvlText w:val="o"/>
      <w:lvlJc w:val="left"/>
      <w:pPr>
        <w:tabs>
          <w:tab w:val="num" w:pos="1440"/>
        </w:tabs>
        <w:ind w:left="1440" w:hanging="360"/>
      </w:pPr>
      <w:rPr>
        <w:rFonts w:ascii="Courier New" w:hAnsi="Courier New" w:cs="Courier New" w:hint="default"/>
      </w:rPr>
    </w:lvl>
    <w:lvl w:ilvl="2" w:tplc="17EABF36">
      <w:start w:val="1"/>
      <w:numFmt w:val="bullet"/>
      <w:lvlText w:val=""/>
      <w:lvlJc w:val="left"/>
      <w:pPr>
        <w:tabs>
          <w:tab w:val="num" w:pos="2160"/>
        </w:tabs>
        <w:ind w:left="2160" w:hanging="360"/>
      </w:pPr>
      <w:rPr>
        <w:rFonts w:ascii="Wingdings" w:hAnsi="Wingdings" w:hint="default"/>
      </w:rPr>
    </w:lvl>
    <w:lvl w:ilvl="3" w:tplc="0512EA2C">
      <w:start w:val="1"/>
      <w:numFmt w:val="bullet"/>
      <w:lvlText w:val=""/>
      <w:lvlJc w:val="left"/>
      <w:pPr>
        <w:tabs>
          <w:tab w:val="num" w:pos="2880"/>
        </w:tabs>
        <w:ind w:left="2880" w:hanging="360"/>
      </w:pPr>
      <w:rPr>
        <w:rFonts w:ascii="Symbol" w:hAnsi="Symbol" w:hint="default"/>
      </w:rPr>
    </w:lvl>
    <w:lvl w:ilvl="4" w:tplc="5C10347E">
      <w:start w:val="1"/>
      <w:numFmt w:val="bullet"/>
      <w:lvlText w:val="o"/>
      <w:lvlJc w:val="left"/>
      <w:pPr>
        <w:tabs>
          <w:tab w:val="num" w:pos="3600"/>
        </w:tabs>
        <w:ind w:left="3600" w:hanging="360"/>
      </w:pPr>
      <w:rPr>
        <w:rFonts w:ascii="Courier New" w:hAnsi="Courier New" w:cs="Courier New" w:hint="default"/>
      </w:rPr>
    </w:lvl>
    <w:lvl w:ilvl="5" w:tplc="2F02B710">
      <w:start w:val="1"/>
      <w:numFmt w:val="bullet"/>
      <w:lvlText w:val=""/>
      <w:lvlJc w:val="left"/>
      <w:pPr>
        <w:tabs>
          <w:tab w:val="num" w:pos="4320"/>
        </w:tabs>
        <w:ind w:left="4320" w:hanging="360"/>
      </w:pPr>
      <w:rPr>
        <w:rFonts w:ascii="Wingdings" w:hAnsi="Wingdings" w:hint="default"/>
      </w:rPr>
    </w:lvl>
    <w:lvl w:ilvl="6" w:tplc="7E8A0246">
      <w:start w:val="1"/>
      <w:numFmt w:val="bullet"/>
      <w:lvlText w:val=""/>
      <w:lvlJc w:val="left"/>
      <w:pPr>
        <w:tabs>
          <w:tab w:val="num" w:pos="5040"/>
        </w:tabs>
        <w:ind w:left="5040" w:hanging="360"/>
      </w:pPr>
      <w:rPr>
        <w:rFonts w:ascii="Symbol" w:hAnsi="Symbol" w:hint="default"/>
      </w:rPr>
    </w:lvl>
    <w:lvl w:ilvl="7" w:tplc="B2FE2E70">
      <w:start w:val="1"/>
      <w:numFmt w:val="bullet"/>
      <w:lvlText w:val="o"/>
      <w:lvlJc w:val="left"/>
      <w:pPr>
        <w:tabs>
          <w:tab w:val="num" w:pos="5760"/>
        </w:tabs>
        <w:ind w:left="5760" w:hanging="360"/>
      </w:pPr>
      <w:rPr>
        <w:rFonts w:ascii="Courier New" w:hAnsi="Courier New" w:cs="Courier New" w:hint="default"/>
      </w:rPr>
    </w:lvl>
    <w:lvl w:ilvl="8" w:tplc="02D61C52">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2"/>
  </w:num>
  <w:num w:numId="3">
    <w:abstractNumId w:val="0"/>
  </w:num>
  <w:num w:numId="4">
    <w:abstractNumId w:val="17"/>
  </w:num>
  <w:num w:numId="5">
    <w:abstractNumId w:val="18"/>
  </w:num>
  <w:num w:numId="6">
    <w:abstractNumId w:val="15"/>
  </w:num>
  <w:num w:numId="7">
    <w:abstractNumId w:val="14"/>
  </w:num>
  <w:num w:numId="8">
    <w:abstractNumId w:val="20"/>
  </w:num>
  <w:num w:numId="9">
    <w:abstractNumId w:val="8"/>
  </w:num>
  <w:num w:numId="10">
    <w:abstractNumId w:val="5"/>
  </w:num>
  <w:num w:numId="11">
    <w:abstractNumId w:val="6"/>
  </w:num>
  <w:num w:numId="12">
    <w:abstractNumId w:val="19"/>
  </w:num>
  <w:num w:numId="13">
    <w:abstractNumId w:val="10"/>
  </w:num>
  <w:num w:numId="14">
    <w:abstractNumId w:val="13"/>
  </w:num>
  <w:num w:numId="15">
    <w:abstractNumId w:val="2"/>
  </w:num>
  <w:num w:numId="16">
    <w:abstractNumId w:val="9"/>
  </w:num>
  <w:num w:numId="17">
    <w:abstractNumId w:val="7"/>
  </w:num>
  <w:num w:numId="18">
    <w:abstractNumId w:val="11"/>
  </w:num>
  <w:num w:numId="19">
    <w:abstractNumId w:val="4"/>
  </w:num>
  <w:num w:numId="20">
    <w:abstractNumId w:val="1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121C"/>
    <w:rsid w:val="000001C2"/>
    <w:rsid w:val="0000040E"/>
    <w:rsid w:val="00000631"/>
    <w:rsid w:val="0000097C"/>
    <w:rsid w:val="000015AC"/>
    <w:rsid w:val="00001FD3"/>
    <w:rsid w:val="00002239"/>
    <w:rsid w:val="0000224E"/>
    <w:rsid w:val="00002BCC"/>
    <w:rsid w:val="000039CD"/>
    <w:rsid w:val="00003ACC"/>
    <w:rsid w:val="00004156"/>
    <w:rsid w:val="00004822"/>
    <w:rsid w:val="00004EF9"/>
    <w:rsid w:val="00005CEF"/>
    <w:rsid w:val="00007586"/>
    <w:rsid w:val="00007B4F"/>
    <w:rsid w:val="00007E67"/>
    <w:rsid w:val="000100B4"/>
    <w:rsid w:val="000116F2"/>
    <w:rsid w:val="000119B5"/>
    <w:rsid w:val="00012E7D"/>
    <w:rsid w:val="0001403E"/>
    <w:rsid w:val="00014864"/>
    <w:rsid w:val="00014F82"/>
    <w:rsid w:val="00015829"/>
    <w:rsid w:val="00015A0F"/>
    <w:rsid w:val="00015EBB"/>
    <w:rsid w:val="0001653E"/>
    <w:rsid w:val="000165B8"/>
    <w:rsid w:val="000166E4"/>
    <w:rsid w:val="0001750C"/>
    <w:rsid w:val="000205FD"/>
    <w:rsid w:val="000213AF"/>
    <w:rsid w:val="00021505"/>
    <w:rsid w:val="000228F0"/>
    <w:rsid w:val="00022DBA"/>
    <w:rsid w:val="00023559"/>
    <w:rsid w:val="00023C02"/>
    <w:rsid w:val="000242BD"/>
    <w:rsid w:val="0002495D"/>
    <w:rsid w:val="0002526A"/>
    <w:rsid w:val="00025512"/>
    <w:rsid w:val="00025678"/>
    <w:rsid w:val="00025D31"/>
    <w:rsid w:val="00026B81"/>
    <w:rsid w:val="00030D37"/>
    <w:rsid w:val="00032837"/>
    <w:rsid w:val="00032B74"/>
    <w:rsid w:val="000334B0"/>
    <w:rsid w:val="000334C0"/>
    <w:rsid w:val="00033C50"/>
    <w:rsid w:val="00034599"/>
    <w:rsid w:val="00034913"/>
    <w:rsid w:val="00034AA4"/>
    <w:rsid w:val="0003542B"/>
    <w:rsid w:val="000354D6"/>
    <w:rsid w:val="000364D2"/>
    <w:rsid w:val="00036BC4"/>
    <w:rsid w:val="00037258"/>
    <w:rsid w:val="00037B63"/>
    <w:rsid w:val="000402D6"/>
    <w:rsid w:val="0004123A"/>
    <w:rsid w:val="00041490"/>
    <w:rsid w:val="00041DBE"/>
    <w:rsid w:val="00041E26"/>
    <w:rsid w:val="00042B88"/>
    <w:rsid w:val="000432A2"/>
    <w:rsid w:val="000432BA"/>
    <w:rsid w:val="00043E00"/>
    <w:rsid w:val="000445FB"/>
    <w:rsid w:val="00044C08"/>
    <w:rsid w:val="000456CC"/>
    <w:rsid w:val="00045999"/>
    <w:rsid w:val="00045D9D"/>
    <w:rsid w:val="00046444"/>
    <w:rsid w:val="000468BC"/>
    <w:rsid w:val="000469B8"/>
    <w:rsid w:val="00046D6B"/>
    <w:rsid w:val="00047B0D"/>
    <w:rsid w:val="00047B1B"/>
    <w:rsid w:val="00050F14"/>
    <w:rsid w:val="00051645"/>
    <w:rsid w:val="00052DEA"/>
    <w:rsid w:val="00052F96"/>
    <w:rsid w:val="00053385"/>
    <w:rsid w:val="00054420"/>
    <w:rsid w:val="000544D3"/>
    <w:rsid w:val="000549F5"/>
    <w:rsid w:val="00054A68"/>
    <w:rsid w:val="000555BB"/>
    <w:rsid w:val="00055682"/>
    <w:rsid w:val="00055935"/>
    <w:rsid w:val="00055D4A"/>
    <w:rsid w:val="00056509"/>
    <w:rsid w:val="0005651D"/>
    <w:rsid w:val="00057082"/>
    <w:rsid w:val="00060217"/>
    <w:rsid w:val="00061597"/>
    <w:rsid w:val="00061896"/>
    <w:rsid w:val="0006364C"/>
    <w:rsid w:val="000643BA"/>
    <w:rsid w:val="00065039"/>
    <w:rsid w:val="00066911"/>
    <w:rsid w:val="00066E2D"/>
    <w:rsid w:val="0006724D"/>
    <w:rsid w:val="00070810"/>
    <w:rsid w:val="00070A1E"/>
    <w:rsid w:val="00070D2C"/>
    <w:rsid w:val="000715CD"/>
    <w:rsid w:val="0007184E"/>
    <w:rsid w:val="00071A75"/>
    <w:rsid w:val="000726A1"/>
    <w:rsid w:val="00073281"/>
    <w:rsid w:val="00073338"/>
    <w:rsid w:val="00073A5D"/>
    <w:rsid w:val="00073CD8"/>
    <w:rsid w:val="000745F7"/>
    <w:rsid w:val="00075398"/>
    <w:rsid w:val="00075A01"/>
    <w:rsid w:val="00075AA8"/>
    <w:rsid w:val="00075B90"/>
    <w:rsid w:val="000763CD"/>
    <w:rsid w:val="000769DF"/>
    <w:rsid w:val="00076F4E"/>
    <w:rsid w:val="0007752C"/>
    <w:rsid w:val="000775F3"/>
    <w:rsid w:val="00077E81"/>
    <w:rsid w:val="00080402"/>
    <w:rsid w:val="00080D44"/>
    <w:rsid w:val="0008109C"/>
    <w:rsid w:val="000816BD"/>
    <w:rsid w:val="000830E6"/>
    <w:rsid w:val="00083D6A"/>
    <w:rsid w:val="00084353"/>
    <w:rsid w:val="00084AD0"/>
    <w:rsid w:val="00085851"/>
    <w:rsid w:val="0008618C"/>
    <w:rsid w:val="00086733"/>
    <w:rsid w:val="00086EF1"/>
    <w:rsid w:val="00087232"/>
    <w:rsid w:val="0008757F"/>
    <w:rsid w:val="00087A67"/>
    <w:rsid w:val="000924CA"/>
    <w:rsid w:val="00092515"/>
    <w:rsid w:val="00092725"/>
    <w:rsid w:val="00092824"/>
    <w:rsid w:val="00092BAF"/>
    <w:rsid w:val="00092F2A"/>
    <w:rsid w:val="00093582"/>
    <w:rsid w:val="0009392C"/>
    <w:rsid w:val="00093A07"/>
    <w:rsid w:val="00094087"/>
    <w:rsid w:val="000940DC"/>
    <w:rsid w:val="000943DA"/>
    <w:rsid w:val="00094A51"/>
    <w:rsid w:val="00095860"/>
    <w:rsid w:val="000959BE"/>
    <w:rsid w:val="000959FE"/>
    <w:rsid w:val="00095A70"/>
    <w:rsid w:val="00095F9D"/>
    <w:rsid w:val="00096078"/>
    <w:rsid w:val="00096D02"/>
    <w:rsid w:val="00096D77"/>
    <w:rsid w:val="00096FDD"/>
    <w:rsid w:val="000A1675"/>
    <w:rsid w:val="000A19F7"/>
    <w:rsid w:val="000A1B98"/>
    <w:rsid w:val="000A1D2A"/>
    <w:rsid w:val="000A1E4C"/>
    <w:rsid w:val="000A1FC8"/>
    <w:rsid w:val="000A238D"/>
    <w:rsid w:val="000A2476"/>
    <w:rsid w:val="000A27D8"/>
    <w:rsid w:val="000A2AF3"/>
    <w:rsid w:val="000A2F8D"/>
    <w:rsid w:val="000A34C6"/>
    <w:rsid w:val="000A3A45"/>
    <w:rsid w:val="000A4128"/>
    <w:rsid w:val="000A4134"/>
    <w:rsid w:val="000A529B"/>
    <w:rsid w:val="000A543E"/>
    <w:rsid w:val="000A561F"/>
    <w:rsid w:val="000A61DA"/>
    <w:rsid w:val="000A6270"/>
    <w:rsid w:val="000A661F"/>
    <w:rsid w:val="000A69CB"/>
    <w:rsid w:val="000B076A"/>
    <w:rsid w:val="000B0B19"/>
    <w:rsid w:val="000B0D2D"/>
    <w:rsid w:val="000B231E"/>
    <w:rsid w:val="000B2DF6"/>
    <w:rsid w:val="000B4106"/>
    <w:rsid w:val="000B4FF4"/>
    <w:rsid w:val="000B5B1F"/>
    <w:rsid w:val="000B5C28"/>
    <w:rsid w:val="000B5F77"/>
    <w:rsid w:val="000B6744"/>
    <w:rsid w:val="000B7340"/>
    <w:rsid w:val="000B7B1F"/>
    <w:rsid w:val="000B7F9C"/>
    <w:rsid w:val="000C044B"/>
    <w:rsid w:val="000C17FC"/>
    <w:rsid w:val="000C182D"/>
    <w:rsid w:val="000C20A1"/>
    <w:rsid w:val="000C211E"/>
    <w:rsid w:val="000C28A6"/>
    <w:rsid w:val="000C3146"/>
    <w:rsid w:val="000C37AF"/>
    <w:rsid w:val="000C3BBA"/>
    <w:rsid w:val="000C5756"/>
    <w:rsid w:val="000C609E"/>
    <w:rsid w:val="000C6E32"/>
    <w:rsid w:val="000C6FB8"/>
    <w:rsid w:val="000C717F"/>
    <w:rsid w:val="000C7D09"/>
    <w:rsid w:val="000D0236"/>
    <w:rsid w:val="000D0762"/>
    <w:rsid w:val="000D11AE"/>
    <w:rsid w:val="000D190B"/>
    <w:rsid w:val="000D2118"/>
    <w:rsid w:val="000D2222"/>
    <w:rsid w:val="000D228B"/>
    <w:rsid w:val="000D366E"/>
    <w:rsid w:val="000D386E"/>
    <w:rsid w:val="000D38CE"/>
    <w:rsid w:val="000D4139"/>
    <w:rsid w:val="000D41F9"/>
    <w:rsid w:val="000D5261"/>
    <w:rsid w:val="000D5C2F"/>
    <w:rsid w:val="000D67B7"/>
    <w:rsid w:val="000D7FBF"/>
    <w:rsid w:val="000E0718"/>
    <w:rsid w:val="000E093C"/>
    <w:rsid w:val="000E335E"/>
    <w:rsid w:val="000E3FB7"/>
    <w:rsid w:val="000E3FC8"/>
    <w:rsid w:val="000E4833"/>
    <w:rsid w:val="000E4EA0"/>
    <w:rsid w:val="000E507A"/>
    <w:rsid w:val="000E56F8"/>
    <w:rsid w:val="000E57F6"/>
    <w:rsid w:val="000E5873"/>
    <w:rsid w:val="000E5B1B"/>
    <w:rsid w:val="000E5E99"/>
    <w:rsid w:val="000E6C88"/>
    <w:rsid w:val="000E6CF3"/>
    <w:rsid w:val="000E796B"/>
    <w:rsid w:val="000F0F58"/>
    <w:rsid w:val="000F2A1A"/>
    <w:rsid w:val="000F4149"/>
    <w:rsid w:val="000F4176"/>
    <w:rsid w:val="000F46A1"/>
    <w:rsid w:val="000F56BC"/>
    <w:rsid w:val="000F5B3A"/>
    <w:rsid w:val="000F5E26"/>
    <w:rsid w:val="000F6167"/>
    <w:rsid w:val="000F6FD6"/>
    <w:rsid w:val="000F7AD1"/>
    <w:rsid w:val="00100497"/>
    <w:rsid w:val="0010121A"/>
    <w:rsid w:val="001013C3"/>
    <w:rsid w:val="00102525"/>
    <w:rsid w:val="00102D8B"/>
    <w:rsid w:val="00102EA2"/>
    <w:rsid w:val="00103E27"/>
    <w:rsid w:val="001048E1"/>
    <w:rsid w:val="0010550C"/>
    <w:rsid w:val="00105A06"/>
    <w:rsid w:val="001062BB"/>
    <w:rsid w:val="00106661"/>
    <w:rsid w:val="001066F7"/>
    <w:rsid w:val="001067B7"/>
    <w:rsid w:val="001072E6"/>
    <w:rsid w:val="00111AEC"/>
    <w:rsid w:val="00112A61"/>
    <w:rsid w:val="00112F6F"/>
    <w:rsid w:val="00113131"/>
    <w:rsid w:val="00114987"/>
    <w:rsid w:val="00114C28"/>
    <w:rsid w:val="0011507E"/>
    <w:rsid w:val="00115A8D"/>
    <w:rsid w:val="001166EC"/>
    <w:rsid w:val="00116AE9"/>
    <w:rsid w:val="00116D24"/>
    <w:rsid w:val="00117670"/>
    <w:rsid w:val="00117B8E"/>
    <w:rsid w:val="0012080E"/>
    <w:rsid w:val="00120E17"/>
    <w:rsid w:val="00121CDC"/>
    <w:rsid w:val="0012201D"/>
    <w:rsid w:val="00122DB3"/>
    <w:rsid w:val="0012392B"/>
    <w:rsid w:val="00123A36"/>
    <w:rsid w:val="00124233"/>
    <w:rsid w:val="00124D05"/>
    <w:rsid w:val="00125E18"/>
    <w:rsid w:val="00125E71"/>
    <w:rsid w:val="0012622E"/>
    <w:rsid w:val="00126836"/>
    <w:rsid w:val="00126981"/>
    <w:rsid w:val="00126C3E"/>
    <w:rsid w:val="001277BB"/>
    <w:rsid w:val="0013010B"/>
    <w:rsid w:val="00130F33"/>
    <w:rsid w:val="00130FE7"/>
    <w:rsid w:val="001312A2"/>
    <w:rsid w:val="0013185C"/>
    <w:rsid w:val="00131CEC"/>
    <w:rsid w:val="00132322"/>
    <w:rsid w:val="00132D94"/>
    <w:rsid w:val="00132FD4"/>
    <w:rsid w:val="00133AB8"/>
    <w:rsid w:val="00133B1D"/>
    <w:rsid w:val="001358DD"/>
    <w:rsid w:val="00137584"/>
    <w:rsid w:val="00137A68"/>
    <w:rsid w:val="00140547"/>
    <w:rsid w:val="001405B6"/>
    <w:rsid w:val="00140BD2"/>
    <w:rsid w:val="00140EE0"/>
    <w:rsid w:val="001410AB"/>
    <w:rsid w:val="001413C0"/>
    <w:rsid w:val="001418FD"/>
    <w:rsid w:val="00141A97"/>
    <w:rsid w:val="0014225C"/>
    <w:rsid w:val="001427A7"/>
    <w:rsid w:val="00142DBE"/>
    <w:rsid w:val="00143408"/>
    <w:rsid w:val="00143470"/>
    <w:rsid w:val="00143990"/>
    <w:rsid w:val="00143AA9"/>
    <w:rsid w:val="001440E6"/>
    <w:rsid w:val="0014414C"/>
    <w:rsid w:val="001446C9"/>
    <w:rsid w:val="00144F9D"/>
    <w:rsid w:val="00146880"/>
    <w:rsid w:val="00146BC0"/>
    <w:rsid w:val="00147021"/>
    <w:rsid w:val="0015000A"/>
    <w:rsid w:val="00150340"/>
    <w:rsid w:val="00150355"/>
    <w:rsid w:val="00151E9E"/>
    <w:rsid w:val="0015251A"/>
    <w:rsid w:val="001534A1"/>
    <w:rsid w:val="00153826"/>
    <w:rsid w:val="00153B2B"/>
    <w:rsid w:val="00153FB9"/>
    <w:rsid w:val="001547AD"/>
    <w:rsid w:val="00154EE6"/>
    <w:rsid w:val="00156944"/>
    <w:rsid w:val="00156B4C"/>
    <w:rsid w:val="0015737E"/>
    <w:rsid w:val="00157B0E"/>
    <w:rsid w:val="00157D5E"/>
    <w:rsid w:val="00160825"/>
    <w:rsid w:val="00160E71"/>
    <w:rsid w:val="001616B4"/>
    <w:rsid w:val="00161ED4"/>
    <w:rsid w:val="001626F0"/>
    <w:rsid w:val="001629D2"/>
    <w:rsid w:val="0016339B"/>
    <w:rsid w:val="00163478"/>
    <w:rsid w:val="00164011"/>
    <w:rsid w:val="001642FB"/>
    <w:rsid w:val="0016482F"/>
    <w:rsid w:val="0016596A"/>
    <w:rsid w:val="00165E7F"/>
    <w:rsid w:val="00165F3A"/>
    <w:rsid w:val="00166AE0"/>
    <w:rsid w:val="00166B0D"/>
    <w:rsid w:val="00167460"/>
    <w:rsid w:val="00167591"/>
    <w:rsid w:val="00170789"/>
    <w:rsid w:val="00171069"/>
    <w:rsid w:val="00171F70"/>
    <w:rsid w:val="00173183"/>
    <w:rsid w:val="001751FA"/>
    <w:rsid w:val="001758EE"/>
    <w:rsid w:val="001760AF"/>
    <w:rsid w:val="001760E2"/>
    <w:rsid w:val="00176315"/>
    <w:rsid w:val="00176A92"/>
    <w:rsid w:val="00176ECF"/>
    <w:rsid w:val="0017709C"/>
    <w:rsid w:val="001778D4"/>
    <w:rsid w:val="00177C9A"/>
    <w:rsid w:val="0018018B"/>
    <w:rsid w:val="00182677"/>
    <w:rsid w:val="00182913"/>
    <w:rsid w:val="00182D9F"/>
    <w:rsid w:val="0018331F"/>
    <w:rsid w:val="001837F7"/>
    <w:rsid w:val="00183CB0"/>
    <w:rsid w:val="00183EC9"/>
    <w:rsid w:val="00183EE5"/>
    <w:rsid w:val="00184C5D"/>
    <w:rsid w:val="00184EE7"/>
    <w:rsid w:val="0018500A"/>
    <w:rsid w:val="00185130"/>
    <w:rsid w:val="00185474"/>
    <w:rsid w:val="001856BA"/>
    <w:rsid w:val="001856C9"/>
    <w:rsid w:val="0018598C"/>
    <w:rsid w:val="0018790B"/>
    <w:rsid w:val="001906D7"/>
    <w:rsid w:val="001908F0"/>
    <w:rsid w:val="001909EE"/>
    <w:rsid w:val="00190C82"/>
    <w:rsid w:val="00190FB3"/>
    <w:rsid w:val="0019127D"/>
    <w:rsid w:val="00192959"/>
    <w:rsid w:val="00192C6F"/>
    <w:rsid w:val="00192EFA"/>
    <w:rsid w:val="0019321D"/>
    <w:rsid w:val="0019377A"/>
    <w:rsid w:val="00193984"/>
    <w:rsid w:val="00193A19"/>
    <w:rsid w:val="00193CAE"/>
    <w:rsid w:val="00194082"/>
    <w:rsid w:val="001952AA"/>
    <w:rsid w:val="00195C84"/>
    <w:rsid w:val="00195D95"/>
    <w:rsid w:val="001970EC"/>
    <w:rsid w:val="001977BF"/>
    <w:rsid w:val="00197856"/>
    <w:rsid w:val="00197A5D"/>
    <w:rsid w:val="001A03C8"/>
    <w:rsid w:val="001A0814"/>
    <w:rsid w:val="001A0AC8"/>
    <w:rsid w:val="001A190F"/>
    <w:rsid w:val="001A2320"/>
    <w:rsid w:val="001A2C90"/>
    <w:rsid w:val="001A4197"/>
    <w:rsid w:val="001A5AC6"/>
    <w:rsid w:val="001A5C6D"/>
    <w:rsid w:val="001A6397"/>
    <w:rsid w:val="001A6778"/>
    <w:rsid w:val="001A6DE4"/>
    <w:rsid w:val="001A6EE4"/>
    <w:rsid w:val="001A72F6"/>
    <w:rsid w:val="001A769A"/>
    <w:rsid w:val="001B032C"/>
    <w:rsid w:val="001B1836"/>
    <w:rsid w:val="001B19A6"/>
    <w:rsid w:val="001B1B68"/>
    <w:rsid w:val="001B1D43"/>
    <w:rsid w:val="001B2042"/>
    <w:rsid w:val="001B2A98"/>
    <w:rsid w:val="001B32D7"/>
    <w:rsid w:val="001B33FE"/>
    <w:rsid w:val="001B34AA"/>
    <w:rsid w:val="001B3502"/>
    <w:rsid w:val="001B362E"/>
    <w:rsid w:val="001B44D5"/>
    <w:rsid w:val="001B4BD2"/>
    <w:rsid w:val="001B5C19"/>
    <w:rsid w:val="001B6035"/>
    <w:rsid w:val="001B649F"/>
    <w:rsid w:val="001B696D"/>
    <w:rsid w:val="001B6A30"/>
    <w:rsid w:val="001B73C9"/>
    <w:rsid w:val="001B750A"/>
    <w:rsid w:val="001B7A4C"/>
    <w:rsid w:val="001B7A5F"/>
    <w:rsid w:val="001B7E2A"/>
    <w:rsid w:val="001B7F2D"/>
    <w:rsid w:val="001C0290"/>
    <w:rsid w:val="001C02B1"/>
    <w:rsid w:val="001C0E34"/>
    <w:rsid w:val="001C10A5"/>
    <w:rsid w:val="001C12FE"/>
    <w:rsid w:val="001C276F"/>
    <w:rsid w:val="001C353C"/>
    <w:rsid w:val="001C363A"/>
    <w:rsid w:val="001C4297"/>
    <w:rsid w:val="001C4316"/>
    <w:rsid w:val="001C4342"/>
    <w:rsid w:val="001C4BCC"/>
    <w:rsid w:val="001C51D2"/>
    <w:rsid w:val="001C52D4"/>
    <w:rsid w:val="001C5507"/>
    <w:rsid w:val="001C551D"/>
    <w:rsid w:val="001C561D"/>
    <w:rsid w:val="001C5639"/>
    <w:rsid w:val="001C5736"/>
    <w:rsid w:val="001C58C2"/>
    <w:rsid w:val="001C5966"/>
    <w:rsid w:val="001C5F58"/>
    <w:rsid w:val="001C6075"/>
    <w:rsid w:val="001C725C"/>
    <w:rsid w:val="001C736F"/>
    <w:rsid w:val="001C7D67"/>
    <w:rsid w:val="001D0BFD"/>
    <w:rsid w:val="001D0C53"/>
    <w:rsid w:val="001D0E9A"/>
    <w:rsid w:val="001D148B"/>
    <w:rsid w:val="001D157A"/>
    <w:rsid w:val="001D2049"/>
    <w:rsid w:val="001D25F5"/>
    <w:rsid w:val="001D325D"/>
    <w:rsid w:val="001D328D"/>
    <w:rsid w:val="001D32FE"/>
    <w:rsid w:val="001D3B60"/>
    <w:rsid w:val="001D3C5C"/>
    <w:rsid w:val="001D4361"/>
    <w:rsid w:val="001D4591"/>
    <w:rsid w:val="001D5237"/>
    <w:rsid w:val="001D5353"/>
    <w:rsid w:val="001D53BB"/>
    <w:rsid w:val="001D54AA"/>
    <w:rsid w:val="001D5F7F"/>
    <w:rsid w:val="001D6BE2"/>
    <w:rsid w:val="001D765D"/>
    <w:rsid w:val="001D7C5E"/>
    <w:rsid w:val="001D7DA9"/>
    <w:rsid w:val="001E065C"/>
    <w:rsid w:val="001E1EB7"/>
    <w:rsid w:val="001E2515"/>
    <w:rsid w:val="001E267D"/>
    <w:rsid w:val="001E3481"/>
    <w:rsid w:val="001E3559"/>
    <w:rsid w:val="001E384F"/>
    <w:rsid w:val="001E3879"/>
    <w:rsid w:val="001E391F"/>
    <w:rsid w:val="001E4325"/>
    <w:rsid w:val="001E439B"/>
    <w:rsid w:val="001E472A"/>
    <w:rsid w:val="001E4B0D"/>
    <w:rsid w:val="001E4B42"/>
    <w:rsid w:val="001E4F7E"/>
    <w:rsid w:val="001E5915"/>
    <w:rsid w:val="001E5A55"/>
    <w:rsid w:val="001E721C"/>
    <w:rsid w:val="001E74DE"/>
    <w:rsid w:val="001E78C6"/>
    <w:rsid w:val="001E7D43"/>
    <w:rsid w:val="001F0465"/>
    <w:rsid w:val="001F076F"/>
    <w:rsid w:val="001F083E"/>
    <w:rsid w:val="001F115D"/>
    <w:rsid w:val="001F15FE"/>
    <w:rsid w:val="001F1D01"/>
    <w:rsid w:val="001F1D0C"/>
    <w:rsid w:val="001F1D2E"/>
    <w:rsid w:val="001F21E3"/>
    <w:rsid w:val="001F242F"/>
    <w:rsid w:val="001F24B3"/>
    <w:rsid w:val="001F2674"/>
    <w:rsid w:val="001F3B3A"/>
    <w:rsid w:val="001F3B4F"/>
    <w:rsid w:val="001F3BE6"/>
    <w:rsid w:val="001F45BC"/>
    <w:rsid w:val="001F4E12"/>
    <w:rsid w:val="001F4E3B"/>
    <w:rsid w:val="001F5142"/>
    <w:rsid w:val="001F6148"/>
    <w:rsid w:val="001F66F3"/>
    <w:rsid w:val="001F679A"/>
    <w:rsid w:val="001F794B"/>
    <w:rsid w:val="00200F20"/>
    <w:rsid w:val="002011C7"/>
    <w:rsid w:val="0020136D"/>
    <w:rsid w:val="00201BE8"/>
    <w:rsid w:val="00202355"/>
    <w:rsid w:val="00202444"/>
    <w:rsid w:val="002026DA"/>
    <w:rsid w:val="002028F4"/>
    <w:rsid w:val="00203352"/>
    <w:rsid w:val="00203C37"/>
    <w:rsid w:val="00204B75"/>
    <w:rsid w:val="00204DB2"/>
    <w:rsid w:val="00205612"/>
    <w:rsid w:val="002061C7"/>
    <w:rsid w:val="002062E9"/>
    <w:rsid w:val="00206D6C"/>
    <w:rsid w:val="002072BA"/>
    <w:rsid w:val="002074A8"/>
    <w:rsid w:val="0020780A"/>
    <w:rsid w:val="00207938"/>
    <w:rsid w:val="00207FF5"/>
    <w:rsid w:val="00210BA5"/>
    <w:rsid w:val="00211ABF"/>
    <w:rsid w:val="0021246A"/>
    <w:rsid w:val="00213061"/>
    <w:rsid w:val="0021419B"/>
    <w:rsid w:val="0021430E"/>
    <w:rsid w:val="00214E58"/>
    <w:rsid w:val="0021523A"/>
    <w:rsid w:val="00215EAC"/>
    <w:rsid w:val="00216195"/>
    <w:rsid w:val="00216732"/>
    <w:rsid w:val="00216923"/>
    <w:rsid w:val="0021707A"/>
    <w:rsid w:val="00217956"/>
    <w:rsid w:val="00217CD1"/>
    <w:rsid w:val="00217DFB"/>
    <w:rsid w:val="0022059F"/>
    <w:rsid w:val="002209C0"/>
    <w:rsid w:val="002213C9"/>
    <w:rsid w:val="002216C7"/>
    <w:rsid w:val="00221B04"/>
    <w:rsid w:val="0022233E"/>
    <w:rsid w:val="0022304E"/>
    <w:rsid w:val="00223367"/>
    <w:rsid w:val="002237DD"/>
    <w:rsid w:val="00223C45"/>
    <w:rsid w:val="00223F8A"/>
    <w:rsid w:val="00224781"/>
    <w:rsid w:val="00224D19"/>
    <w:rsid w:val="00226874"/>
    <w:rsid w:val="00226D8F"/>
    <w:rsid w:val="00226DA9"/>
    <w:rsid w:val="0022764A"/>
    <w:rsid w:val="00227F62"/>
    <w:rsid w:val="0023011B"/>
    <w:rsid w:val="00230327"/>
    <w:rsid w:val="0023040E"/>
    <w:rsid w:val="0023076B"/>
    <w:rsid w:val="00231D91"/>
    <w:rsid w:val="00232EA3"/>
    <w:rsid w:val="00232FD5"/>
    <w:rsid w:val="00233A26"/>
    <w:rsid w:val="002344AA"/>
    <w:rsid w:val="00234854"/>
    <w:rsid w:val="002349FF"/>
    <w:rsid w:val="0023514B"/>
    <w:rsid w:val="00235195"/>
    <w:rsid w:val="00235711"/>
    <w:rsid w:val="00236526"/>
    <w:rsid w:val="0023682A"/>
    <w:rsid w:val="00236EB3"/>
    <w:rsid w:val="00236ED3"/>
    <w:rsid w:val="002370B6"/>
    <w:rsid w:val="00237CCA"/>
    <w:rsid w:val="00240353"/>
    <w:rsid w:val="00240C7C"/>
    <w:rsid w:val="0024120A"/>
    <w:rsid w:val="002415A2"/>
    <w:rsid w:val="00241672"/>
    <w:rsid w:val="0024171D"/>
    <w:rsid w:val="00241B20"/>
    <w:rsid w:val="00241CCA"/>
    <w:rsid w:val="0024290C"/>
    <w:rsid w:val="00242C79"/>
    <w:rsid w:val="00242E1C"/>
    <w:rsid w:val="00243545"/>
    <w:rsid w:val="002446C2"/>
    <w:rsid w:val="002449D3"/>
    <w:rsid w:val="002450B1"/>
    <w:rsid w:val="00245E0B"/>
    <w:rsid w:val="00246B3A"/>
    <w:rsid w:val="00247CF4"/>
    <w:rsid w:val="002502B6"/>
    <w:rsid w:val="00251B29"/>
    <w:rsid w:val="00251D02"/>
    <w:rsid w:val="00252117"/>
    <w:rsid w:val="00253199"/>
    <w:rsid w:val="00254A6E"/>
    <w:rsid w:val="00254B40"/>
    <w:rsid w:val="002553F7"/>
    <w:rsid w:val="00255BBB"/>
    <w:rsid w:val="00255E4B"/>
    <w:rsid w:val="00256699"/>
    <w:rsid w:val="0025704C"/>
    <w:rsid w:val="0025786C"/>
    <w:rsid w:val="00257C07"/>
    <w:rsid w:val="002605D9"/>
    <w:rsid w:val="002606D5"/>
    <w:rsid w:val="002607F6"/>
    <w:rsid w:val="00261570"/>
    <w:rsid w:val="00261CC4"/>
    <w:rsid w:val="0026228A"/>
    <w:rsid w:val="002622B9"/>
    <w:rsid w:val="00262BDD"/>
    <w:rsid w:val="00262F6E"/>
    <w:rsid w:val="002631E2"/>
    <w:rsid w:val="002634DA"/>
    <w:rsid w:val="00263C25"/>
    <w:rsid w:val="00264BD0"/>
    <w:rsid w:val="00265177"/>
    <w:rsid w:val="002666A7"/>
    <w:rsid w:val="00266F26"/>
    <w:rsid w:val="002670AA"/>
    <w:rsid w:val="00267A21"/>
    <w:rsid w:val="00270334"/>
    <w:rsid w:val="00272205"/>
    <w:rsid w:val="0027356F"/>
    <w:rsid w:val="00273BE6"/>
    <w:rsid w:val="002742FA"/>
    <w:rsid w:val="00274B5A"/>
    <w:rsid w:val="00274DF9"/>
    <w:rsid w:val="00275390"/>
    <w:rsid w:val="002758F5"/>
    <w:rsid w:val="00275A5F"/>
    <w:rsid w:val="00275F23"/>
    <w:rsid w:val="0027663A"/>
    <w:rsid w:val="0027684E"/>
    <w:rsid w:val="00276A2F"/>
    <w:rsid w:val="00276D23"/>
    <w:rsid w:val="0027707E"/>
    <w:rsid w:val="0027724B"/>
    <w:rsid w:val="00280464"/>
    <w:rsid w:val="00280882"/>
    <w:rsid w:val="00280BF0"/>
    <w:rsid w:val="00281ACE"/>
    <w:rsid w:val="00282121"/>
    <w:rsid w:val="002825E0"/>
    <w:rsid w:val="00282ACC"/>
    <w:rsid w:val="00282CB4"/>
    <w:rsid w:val="00282F6B"/>
    <w:rsid w:val="00283BB7"/>
    <w:rsid w:val="002849AA"/>
    <w:rsid w:val="002849EC"/>
    <w:rsid w:val="00285940"/>
    <w:rsid w:val="00285AFF"/>
    <w:rsid w:val="0028708B"/>
    <w:rsid w:val="002870E2"/>
    <w:rsid w:val="002871E0"/>
    <w:rsid w:val="0028760B"/>
    <w:rsid w:val="002900C5"/>
    <w:rsid w:val="00292253"/>
    <w:rsid w:val="00292F85"/>
    <w:rsid w:val="002931B5"/>
    <w:rsid w:val="002938DB"/>
    <w:rsid w:val="00293C6A"/>
    <w:rsid w:val="0029421F"/>
    <w:rsid w:val="0029551C"/>
    <w:rsid w:val="00295850"/>
    <w:rsid w:val="002968AB"/>
    <w:rsid w:val="00296D49"/>
    <w:rsid w:val="00296FF3"/>
    <w:rsid w:val="0029799F"/>
    <w:rsid w:val="00297A0B"/>
    <w:rsid w:val="002A0658"/>
    <w:rsid w:val="002A0B25"/>
    <w:rsid w:val="002A0C2B"/>
    <w:rsid w:val="002A117B"/>
    <w:rsid w:val="002A1882"/>
    <w:rsid w:val="002A268A"/>
    <w:rsid w:val="002A269B"/>
    <w:rsid w:val="002A276E"/>
    <w:rsid w:val="002A3306"/>
    <w:rsid w:val="002A39D9"/>
    <w:rsid w:val="002A3B4E"/>
    <w:rsid w:val="002A44DB"/>
    <w:rsid w:val="002A5B2A"/>
    <w:rsid w:val="002A5BCE"/>
    <w:rsid w:val="002A7645"/>
    <w:rsid w:val="002A767F"/>
    <w:rsid w:val="002B0381"/>
    <w:rsid w:val="002B0BA9"/>
    <w:rsid w:val="002B0E23"/>
    <w:rsid w:val="002B13B9"/>
    <w:rsid w:val="002B16BC"/>
    <w:rsid w:val="002B25B5"/>
    <w:rsid w:val="002B2EDB"/>
    <w:rsid w:val="002B375C"/>
    <w:rsid w:val="002B3930"/>
    <w:rsid w:val="002B3AA1"/>
    <w:rsid w:val="002B3B82"/>
    <w:rsid w:val="002B3C2E"/>
    <w:rsid w:val="002B4743"/>
    <w:rsid w:val="002B530F"/>
    <w:rsid w:val="002B5329"/>
    <w:rsid w:val="002B730D"/>
    <w:rsid w:val="002C0ECE"/>
    <w:rsid w:val="002C0EDB"/>
    <w:rsid w:val="002C18D2"/>
    <w:rsid w:val="002C2868"/>
    <w:rsid w:val="002C2935"/>
    <w:rsid w:val="002C2A71"/>
    <w:rsid w:val="002C3E18"/>
    <w:rsid w:val="002C4919"/>
    <w:rsid w:val="002C50C4"/>
    <w:rsid w:val="002C53AF"/>
    <w:rsid w:val="002C57FD"/>
    <w:rsid w:val="002C677F"/>
    <w:rsid w:val="002C69B1"/>
    <w:rsid w:val="002D200F"/>
    <w:rsid w:val="002D272A"/>
    <w:rsid w:val="002D2F7D"/>
    <w:rsid w:val="002D32C4"/>
    <w:rsid w:val="002D3487"/>
    <w:rsid w:val="002D3CCA"/>
    <w:rsid w:val="002D3DA5"/>
    <w:rsid w:val="002D4497"/>
    <w:rsid w:val="002D4D49"/>
    <w:rsid w:val="002D4FE0"/>
    <w:rsid w:val="002D5CF2"/>
    <w:rsid w:val="002D5F6D"/>
    <w:rsid w:val="002D67C5"/>
    <w:rsid w:val="002D6C70"/>
    <w:rsid w:val="002D7009"/>
    <w:rsid w:val="002D71F3"/>
    <w:rsid w:val="002D7588"/>
    <w:rsid w:val="002E0146"/>
    <w:rsid w:val="002E028B"/>
    <w:rsid w:val="002E0A8B"/>
    <w:rsid w:val="002E0CF7"/>
    <w:rsid w:val="002E1062"/>
    <w:rsid w:val="002E1500"/>
    <w:rsid w:val="002E1E98"/>
    <w:rsid w:val="002E2005"/>
    <w:rsid w:val="002E250B"/>
    <w:rsid w:val="002E28B9"/>
    <w:rsid w:val="002E2D3D"/>
    <w:rsid w:val="002E2FD4"/>
    <w:rsid w:val="002E3A54"/>
    <w:rsid w:val="002E3D23"/>
    <w:rsid w:val="002E4106"/>
    <w:rsid w:val="002E4B2F"/>
    <w:rsid w:val="002E4C19"/>
    <w:rsid w:val="002E580A"/>
    <w:rsid w:val="002E5ADD"/>
    <w:rsid w:val="002E7B41"/>
    <w:rsid w:val="002F0034"/>
    <w:rsid w:val="002F0201"/>
    <w:rsid w:val="002F07CD"/>
    <w:rsid w:val="002F07E1"/>
    <w:rsid w:val="002F084E"/>
    <w:rsid w:val="002F1AD7"/>
    <w:rsid w:val="002F3799"/>
    <w:rsid w:val="002F42E8"/>
    <w:rsid w:val="002F4F40"/>
    <w:rsid w:val="002F51B7"/>
    <w:rsid w:val="002F5453"/>
    <w:rsid w:val="002F5C86"/>
    <w:rsid w:val="002F63AE"/>
    <w:rsid w:val="002F643F"/>
    <w:rsid w:val="002F739D"/>
    <w:rsid w:val="002F7934"/>
    <w:rsid w:val="0030030A"/>
    <w:rsid w:val="00300693"/>
    <w:rsid w:val="00300BA8"/>
    <w:rsid w:val="003023DD"/>
    <w:rsid w:val="00302684"/>
    <w:rsid w:val="003031E0"/>
    <w:rsid w:val="00303401"/>
    <w:rsid w:val="003034D1"/>
    <w:rsid w:val="00303DA1"/>
    <w:rsid w:val="00305181"/>
    <w:rsid w:val="003052A8"/>
    <w:rsid w:val="003053C4"/>
    <w:rsid w:val="00305F6D"/>
    <w:rsid w:val="00306385"/>
    <w:rsid w:val="00306635"/>
    <w:rsid w:val="003074A3"/>
    <w:rsid w:val="00307900"/>
    <w:rsid w:val="00307EAD"/>
    <w:rsid w:val="00307FF2"/>
    <w:rsid w:val="00310106"/>
    <w:rsid w:val="00310BE1"/>
    <w:rsid w:val="00310C93"/>
    <w:rsid w:val="003113B6"/>
    <w:rsid w:val="0031180B"/>
    <w:rsid w:val="00311B24"/>
    <w:rsid w:val="003128CC"/>
    <w:rsid w:val="00312A6D"/>
    <w:rsid w:val="00312B81"/>
    <w:rsid w:val="00312DD9"/>
    <w:rsid w:val="00313083"/>
    <w:rsid w:val="003134A5"/>
    <w:rsid w:val="00313829"/>
    <w:rsid w:val="00313CDC"/>
    <w:rsid w:val="003146D9"/>
    <w:rsid w:val="00314947"/>
    <w:rsid w:val="00314B40"/>
    <w:rsid w:val="0031504F"/>
    <w:rsid w:val="00315C17"/>
    <w:rsid w:val="0031618F"/>
    <w:rsid w:val="003163C8"/>
    <w:rsid w:val="00316B64"/>
    <w:rsid w:val="0031708B"/>
    <w:rsid w:val="003171E9"/>
    <w:rsid w:val="0031745F"/>
    <w:rsid w:val="003179C9"/>
    <w:rsid w:val="00317A4F"/>
    <w:rsid w:val="00317D43"/>
    <w:rsid w:val="0032000B"/>
    <w:rsid w:val="003204EF"/>
    <w:rsid w:val="003206AC"/>
    <w:rsid w:val="00320C72"/>
    <w:rsid w:val="00320FF4"/>
    <w:rsid w:val="00321445"/>
    <w:rsid w:val="00321517"/>
    <w:rsid w:val="00322285"/>
    <w:rsid w:val="00322E29"/>
    <w:rsid w:val="00322EA1"/>
    <w:rsid w:val="00323B76"/>
    <w:rsid w:val="00323D30"/>
    <w:rsid w:val="00323D7A"/>
    <w:rsid w:val="0032410A"/>
    <w:rsid w:val="00324148"/>
    <w:rsid w:val="00324EEA"/>
    <w:rsid w:val="003250CD"/>
    <w:rsid w:val="0032527D"/>
    <w:rsid w:val="00325499"/>
    <w:rsid w:val="00326994"/>
    <w:rsid w:val="00326BD5"/>
    <w:rsid w:val="00326CFE"/>
    <w:rsid w:val="003273B1"/>
    <w:rsid w:val="003278BD"/>
    <w:rsid w:val="00327C0F"/>
    <w:rsid w:val="00330A86"/>
    <w:rsid w:val="003316F6"/>
    <w:rsid w:val="003318CD"/>
    <w:rsid w:val="00332816"/>
    <w:rsid w:val="00332BF6"/>
    <w:rsid w:val="00333341"/>
    <w:rsid w:val="00333C3E"/>
    <w:rsid w:val="00335324"/>
    <w:rsid w:val="003357AE"/>
    <w:rsid w:val="00335A7E"/>
    <w:rsid w:val="00335B9A"/>
    <w:rsid w:val="0033665D"/>
    <w:rsid w:val="00337414"/>
    <w:rsid w:val="00340080"/>
    <w:rsid w:val="00340832"/>
    <w:rsid w:val="003416F6"/>
    <w:rsid w:val="003419D7"/>
    <w:rsid w:val="00341B80"/>
    <w:rsid w:val="00341CBE"/>
    <w:rsid w:val="00341E1E"/>
    <w:rsid w:val="003422F6"/>
    <w:rsid w:val="00342357"/>
    <w:rsid w:val="003424AB"/>
    <w:rsid w:val="003426D2"/>
    <w:rsid w:val="00342D33"/>
    <w:rsid w:val="0034301F"/>
    <w:rsid w:val="003430E3"/>
    <w:rsid w:val="00343116"/>
    <w:rsid w:val="00343B75"/>
    <w:rsid w:val="003443E0"/>
    <w:rsid w:val="00344EF6"/>
    <w:rsid w:val="0034549A"/>
    <w:rsid w:val="00345E13"/>
    <w:rsid w:val="00347447"/>
    <w:rsid w:val="0034780B"/>
    <w:rsid w:val="00347A60"/>
    <w:rsid w:val="00347D69"/>
    <w:rsid w:val="003502AE"/>
    <w:rsid w:val="00350DBD"/>
    <w:rsid w:val="00351415"/>
    <w:rsid w:val="003515CF"/>
    <w:rsid w:val="0035222A"/>
    <w:rsid w:val="00352656"/>
    <w:rsid w:val="003529F1"/>
    <w:rsid w:val="00352AB3"/>
    <w:rsid w:val="00352FC2"/>
    <w:rsid w:val="00352FED"/>
    <w:rsid w:val="00353282"/>
    <w:rsid w:val="00354F1B"/>
    <w:rsid w:val="0035515B"/>
    <w:rsid w:val="00355B4F"/>
    <w:rsid w:val="0035625D"/>
    <w:rsid w:val="00356AFB"/>
    <w:rsid w:val="00356D51"/>
    <w:rsid w:val="00356F4D"/>
    <w:rsid w:val="003571C6"/>
    <w:rsid w:val="00357A5C"/>
    <w:rsid w:val="00357E02"/>
    <w:rsid w:val="003608C6"/>
    <w:rsid w:val="0036111A"/>
    <w:rsid w:val="003612AD"/>
    <w:rsid w:val="003619E9"/>
    <w:rsid w:val="00361F44"/>
    <w:rsid w:val="00362B38"/>
    <w:rsid w:val="00363221"/>
    <w:rsid w:val="003634C7"/>
    <w:rsid w:val="003634EF"/>
    <w:rsid w:val="003635D9"/>
    <w:rsid w:val="0036403A"/>
    <w:rsid w:val="00364D97"/>
    <w:rsid w:val="0036715A"/>
    <w:rsid w:val="00370967"/>
    <w:rsid w:val="00370D84"/>
    <w:rsid w:val="0037165F"/>
    <w:rsid w:val="003717FC"/>
    <w:rsid w:val="00371FAA"/>
    <w:rsid w:val="00372112"/>
    <w:rsid w:val="003726C2"/>
    <w:rsid w:val="00372A1C"/>
    <w:rsid w:val="00372EB7"/>
    <w:rsid w:val="0037315A"/>
    <w:rsid w:val="00373339"/>
    <w:rsid w:val="00373C93"/>
    <w:rsid w:val="00373CDD"/>
    <w:rsid w:val="003749D0"/>
    <w:rsid w:val="00374C9D"/>
    <w:rsid w:val="00376392"/>
    <w:rsid w:val="00376679"/>
    <w:rsid w:val="003771BD"/>
    <w:rsid w:val="00377EE0"/>
    <w:rsid w:val="00380E2B"/>
    <w:rsid w:val="003811C5"/>
    <w:rsid w:val="00381F0A"/>
    <w:rsid w:val="00382F63"/>
    <w:rsid w:val="0038332A"/>
    <w:rsid w:val="00384D9D"/>
    <w:rsid w:val="00385245"/>
    <w:rsid w:val="0038528C"/>
    <w:rsid w:val="0038603C"/>
    <w:rsid w:val="0038611D"/>
    <w:rsid w:val="0038648F"/>
    <w:rsid w:val="00386548"/>
    <w:rsid w:val="003867D1"/>
    <w:rsid w:val="00386EE8"/>
    <w:rsid w:val="00387503"/>
    <w:rsid w:val="00390383"/>
    <w:rsid w:val="00390575"/>
    <w:rsid w:val="0039097B"/>
    <w:rsid w:val="00390CAE"/>
    <w:rsid w:val="003910BC"/>
    <w:rsid w:val="003911BC"/>
    <w:rsid w:val="00391785"/>
    <w:rsid w:val="0039215D"/>
    <w:rsid w:val="003921A7"/>
    <w:rsid w:val="003921BD"/>
    <w:rsid w:val="0039285C"/>
    <w:rsid w:val="0039427D"/>
    <w:rsid w:val="00394B95"/>
    <w:rsid w:val="00394E82"/>
    <w:rsid w:val="0039524D"/>
    <w:rsid w:val="00395AE5"/>
    <w:rsid w:val="00396DED"/>
    <w:rsid w:val="003970D2"/>
    <w:rsid w:val="00397120"/>
    <w:rsid w:val="0039781B"/>
    <w:rsid w:val="003A0D5E"/>
    <w:rsid w:val="003A0F01"/>
    <w:rsid w:val="003A2111"/>
    <w:rsid w:val="003A235B"/>
    <w:rsid w:val="003A53BC"/>
    <w:rsid w:val="003A55DC"/>
    <w:rsid w:val="003A5BEF"/>
    <w:rsid w:val="003A6152"/>
    <w:rsid w:val="003A67A8"/>
    <w:rsid w:val="003A6CC7"/>
    <w:rsid w:val="003A7FFD"/>
    <w:rsid w:val="003B0357"/>
    <w:rsid w:val="003B05F9"/>
    <w:rsid w:val="003B0ED5"/>
    <w:rsid w:val="003B1799"/>
    <w:rsid w:val="003B18A5"/>
    <w:rsid w:val="003B2089"/>
    <w:rsid w:val="003B2E84"/>
    <w:rsid w:val="003B3664"/>
    <w:rsid w:val="003B4004"/>
    <w:rsid w:val="003B4A1F"/>
    <w:rsid w:val="003B56F7"/>
    <w:rsid w:val="003B5CCC"/>
    <w:rsid w:val="003B5DCC"/>
    <w:rsid w:val="003B5E32"/>
    <w:rsid w:val="003B6BFB"/>
    <w:rsid w:val="003B7D20"/>
    <w:rsid w:val="003C05D2"/>
    <w:rsid w:val="003C096B"/>
    <w:rsid w:val="003C119F"/>
    <w:rsid w:val="003C1A32"/>
    <w:rsid w:val="003C1CF7"/>
    <w:rsid w:val="003C205E"/>
    <w:rsid w:val="003C2342"/>
    <w:rsid w:val="003C28AF"/>
    <w:rsid w:val="003C2994"/>
    <w:rsid w:val="003C2C74"/>
    <w:rsid w:val="003C314B"/>
    <w:rsid w:val="003C3227"/>
    <w:rsid w:val="003C32CB"/>
    <w:rsid w:val="003C3CD7"/>
    <w:rsid w:val="003C4447"/>
    <w:rsid w:val="003C46EA"/>
    <w:rsid w:val="003C4D09"/>
    <w:rsid w:val="003C4FF0"/>
    <w:rsid w:val="003C50B1"/>
    <w:rsid w:val="003C5231"/>
    <w:rsid w:val="003C60F5"/>
    <w:rsid w:val="003D0D6B"/>
    <w:rsid w:val="003D0E5C"/>
    <w:rsid w:val="003D1A78"/>
    <w:rsid w:val="003D2FCD"/>
    <w:rsid w:val="003D3104"/>
    <w:rsid w:val="003D3256"/>
    <w:rsid w:val="003D329C"/>
    <w:rsid w:val="003D33F5"/>
    <w:rsid w:val="003D3B6D"/>
    <w:rsid w:val="003D4173"/>
    <w:rsid w:val="003D5104"/>
    <w:rsid w:val="003D57A0"/>
    <w:rsid w:val="003D6F6E"/>
    <w:rsid w:val="003D70C5"/>
    <w:rsid w:val="003D7923"/>
    <w:rsid w:val="003E048B"/>
    <w:rsid w:val="003E0874"/>
    <w:rsid w:val="003E0EF9"/>
    <w:rsid w:val="003E0F73"/>
    <w:rsid w:val="003E22AF"/>
    <w:rsid w:val="003E2BB1"/>
    <w:rsid w:val="003E2E0D"/>
    <w:rsid w:val="003E331F"/>
    <w:rsid w:val="003E4428"/>
    <w:rsid w:val="003E4EA8"/>
    <w:rsid w:val="003E54CE"/>
    <w:rsid w:val="003E560C"/>
    <w:rsid w:val="003E5ABA"/>
    <w:rsid w:val="003E5DB9"/>
    <w:rsid w:val="003E6630"/>
    <w:rsid w:val="003E6986"/>
    <w:rsid w:val="003E748D"/>
    <w:rsid w:val="003F0088"/>
    <w:rsid w:val="003F030B"/>
    <w:rsid w:val="003F0663"/>
    <w:rsid w:val="003F1390"/>
    <w:rsid w:val="003F1A3C"/>
    <w:rsid w:val="003F1B9A"/>
    <w:rsid w:val="003F2A6A"/>
    <w:rsid w:val="003F30DD"/>
    <w:rsid w:val="003F30F8"/>
    <w:rsid w:val="003F3286"/>
    <w:rsid w:val="003F32A3"/>
    <w:rsid w:val="003F388E"/>
    <w:rsid w:val="003F3BA7"/>
    <w:rsid w:val="003F3C64"/>
    <w:rsid w:val="003F4373"/>
    <w:rsid w:val="003F4C1D"/>
    <w:rsid w:val="003F50DC"/>
    <w:rsid w:val="003F5105"/>
    <w:rsid w:val="003F52F2"/>
    <w:rsid w:val="003F52F9"/>
    <w:rsid w:val="003F5518"/>
    <w:rsid w:val="003F5969"/>
    <w:rsid w:val="003F5A36"/>
    <w:rsid w:val="003F61A1"/>
    <w:rsid w:val="003F69F3"/>
    <w:rsid w:val="003F780F"/>
    <w:rsid w:val="003F7FA2"/>
    <w:rsid w:val="003F7FBD"/>
    <w:rsid w:val="00400D38"/>
    <w:rsid w:val="00400E07"/>
    <w:rsid w:val="00401213"/>
    <w:rsid w:val="0040173F"/>
    <w:rsid w:val="00401C38"/>
    <w:rsid w:val="00401FF7"/>
    <w:rsid w:val="00402E5A"/>
    <w:rsid w:val="00402E6C"/>
    <w:rsid w:val="004032FB"/>
    <w:rsid w:val="00403E27"/>
    <w:rsid w:val="00404197"/>
    <w:rsid w:val="00404276"/>
    <w:rsid w:val="00404677"/>
    <w:rsid w:val="0040489C"/>
    <w:rsid w:val="0040589C"/>
    <w:rsid w:val="004064B2"/>
    <w:rsid w:val="00406770"/>
    <w:rsid w:val="00407EB7"/>
    <w:rsid w:val="0041014F"/>
    <w:rsid w:val="004102BE"/>
    <w:rsid w:val="00412248"/>
    <w:rsid w:val="0041279B"/>
    <w:rsid w:val="00413222"/>
    <w:rsid w:val="004135C6"/>
    <w:rsid w:val="00413C76"/>
    <w:rsid w:val="00414CE6"/>
    <w:rsid w:val="00414E87"/>
    <w:rsid w:val="004150CD"/>
    <w:rsid w:val="0041585E"/>
    <w:rsid w:val="00415A7B"/>
    <w:rsid w:val="004167E0"/>
    <w:rsid w:val="00416C65"/>
    <w:rsid w:val="004171E8"/>
    <w:rsid w:val="00417259"/>
    <w:rsid w:val="004209AB"/>
    <w:rsid w:val="00420CF2"/>
    <w:rsid w:val="00422147"/>
    <w:rsid w:val="004221C4"/>
    <w:rsid w:val="0042238B"/>
    <w:rsid w:val="0042363E"/>
    <w:rsid w:val="00424846"/>
    <w:rsid w:val="00424EBE"/>
    <w:rsid w:val="0042501A"/>
    <w:rsid w:val="0042546B"/>
    <w:rsid w:val="00426070"/>
    <w:rsid w:val="00427B42"/>
    <w:rsid w:val="004300C0"/>
    <w:rsid w:val="004300DC"/>
    <w:rsid w:val="00430E57"/>
    <w:rsid w:val="004311B6"/>
    <w:rsid w:val="004312E8"/>
    <w:rsid w:val="00431493"/>
    <w:rsid w:val="00431FF8"/>
    <w:rsid w:val="0043247C"/>
    <w:rsid w:val="00432DA8"/>
    <w:rsid w:val="00433771"/>
    <w:rsid w:val="00433E5C"/>
    <w:rsid w:val="00434030"/>
    <w:rsid w:val="004342D2"/>
    <w:rsid w:val="00434B69"/>
    <w:rsid w:val="00435E69"/>
    <w:rsid w:val="00437200"/>
    <w:rsid w:val="004379CD"/>
    <w:rsid w:val="00437F11"/>
    <w:rsid w:val="00440671"/>
    <w:rsid w:val="004418DF"/>
    <w:rsid w:val="00441A0E"/>
    <w:rsid w:val="004421B2"/>
    <w:rsid w:val="004423FA"/>
    <w:rsid w:val="00442771"/>
    <w:rsid w:val="00442CA0"/>
    <w:rsid w:val="004431CB"/>
    <w:rsid w:val="004436F4"/>
    <w:rsid w:val="00443A12"/>
    <w:rsid w:val="00444E7F"/>
    <w:rsid w:val="004456F3"/>
    <w:rsid w:val="00445A33"/>
    <w:rsid w:val="004464B5"/>
    <w:rsid w:val="00446E7D"/>
    <w:rsid w:val="00447722"/>
    <w:rsid w:val="00451746"/>
    <w:rsid w:val="0045215F"/>
    <w:rsid w:val="004521F7"/>
    <w:rsid w:val="00452BE4"/>
    <w:rsid w:val="0045358F"/>
    <w:rsid w:val="00453951"/>
    <w:rsid w:val="00453E51"/>
    <w:rsid w:val="00454102"/>
    <w:rsid w:val="00454678"/>
    <w:rsid w:val="0045471C"/>
    <w:rsid w:val="0045651F"/>
    <w:rsid w:val="00456562"/>
    <w:rsid w:val="004565C4"/>
    <w:rsid w:val="00456E0D"/>
    <w:rsid w:val="00456FF4"/>
    <w:rsid w:val="0045775F"/>
    <w:rsid w:val="004578B9"/>
    <w:rsid w:val="00460281"/>
    <w:rsid w:val="0046048C"/>
    <w:rsid w:val="00461F0E"/>
    <w:rsid w:val="00462145"/>
    <w:rsid w:val="004629FE"/>
    <w:rsid w:val="00462D60"/>
    <w:rsid w:val="00462F72"/>
    <w:rsid w:val="0046395F"/>
    <w:rsid w:val="00463D31"/>
    <w:rsid w:val="004643C0"/>
    <w:rsid w:val="004650AC"/>
    <w:rsid w:val="004652D6"/>
    <w:rsid w:val="00465752"/>
    <w:rsid w:val="00465CBF"/>
    <w:rsid w:val="00467039"/>
    <w:rsid w:val="004675A5"/>
    <w:rsid w:val="0047039C"/>
    <w:rsid w:val="00470456"/>
    <w:rsid w:val="00472264"/>
    <w:rsid w:val="004725DD"/>
    <w:rsid w:val="00473EBC"/>
    <w:rsid w:val="0047513A"/>
    <w:rsid w:val="0047546C"/>
    <w:rsid w:val="00475589"/>
    <w:rsid w:val="00475E18"/>
    <w:rsid w:val="00475F04"/>
    <w:rsid w:val="00476675"/>
    <w:rsid w:val="00476CBA"/>
    <w:rsid w:val="00476D71"/>
    <w:rsid w:val="00480098"/>
    <w:rsid w:val="00480915"/>
    <w:rsid w:val="00480A2B"/>
    <w:rsid w:val="004812C9"/>
    <w:rsid w:val="0048135A"/>
    <w:rsid w:val="00482013"/>
    <w:rsid w:val="004824A6"/>
    <w:rsid w:val="004839CC"/>
    <w:rsid w:val="00483AF6"/>
    <w:rsid w:val="00483E92"/>
    <w:rsid w:val="00484165"/>
    <w:rsid w:val="00484628"/>
    <w:rsid w:val="004859F6"/>
    <w:rsid w:val="00485ACE"/>
    <w:rsid w:val="004864E5"/>
    <w:rsid w:val="0048650D"/>
    <w:rsid w:val="00486EAF"/>
    <w:rsid w:val="004871E7"/>
    <w:rsid w:val="00487D8D"/>
    <w:rsid w:val="00490E45"/>
    <w:rsid w:val="00490F5F"/>
    <w:rsid w:val="004911BA"/>
    <w:rsid w:val="004913B2"/>
    <w:rsid w:val="00492A27"/>
    <w:rsid w:val="00492A7A"/>
    <w:rsid w:val="00493521"/>
    <w:rsid w:val="00493A0E"/>
    <w:rsid w:val="00493B15"/>
    <w:rsid w:val="00493C1C"/>
    <w:rsid w:val="00493CE2"/>
    <w:rsid w:val="00493EFF"/>
    <w:rsid w:val="004952A2"/>
    <w:rsid w:val="004952CD"/>
    <w:rsid w:val="00495512"/>
    <w:rsid w:val="00497124"/>
    <w:rsid w:val="00497850"/>
    <w:rsid w:val="00497990"/>
    <w:rsid w:val="004A1ABF"/>
    <w:rsid w:val="004A1B09"/>
    <w:rsid w:val="004A1B7B"/>
    <w:rsid w:val="004A1C27"/>
    <w:rsid w:val="004A3F2A"/>
    <w:rsid w:val="004A4EEA"/>
    <w:rsid w:val="004A4F69"/>
    <w:rsid w:val="004A52FC"/>
    <w:rsid w:val="004A6809"/>
    <w:rsid w:val="004A73C9"/>
    <w:rsid w:val="004A7A8D"/>
    <w:rsid w:val="004B01E1"/>
    <w:rsid w:val="004B129A"/>
    <w:rsid w:val="004B182C"/>
    <w:rsid w:val="004B1C56"/>
    <w:rsid w:val="004B1F37"/>
    <w:rsid w:val="004B283B"/>
    <w:rsid w:val="004B4470"/>
    <w:rsid w:val="004B4C29"/>
    <w:rsid w:val="004B533C"/>
    <w:rsid w:val="004B634C"/>
    <w:rsid w:val="004B6925"/>
    <w:rsid w:val="004B6F4D"/>
    <w:rsid w:val="004B7166"/>
    <w:rsid w:val="004C03FD"/>
    <w:rsid w:val="004C0A47"/>
    <w:rsid w:val="004C0B2A"/>
    <w:rsid w:val="004C0B47"/>
    <w:rsid w:val="004C0B5C"/>
    <w:rsid w:val="004C0C25"/>
    <w:rsid w:val="004C0E87"/>
    <w:rsid w:val="004C1B4F"/>
    <w:rsid w:val="004C1EAA"/>
    <w:rsid w:val="004C2104"/>
    <w:rsid w:val="004C2244"/>
    <w:rsid w:val="004C2BDE"/>
    <w:rsid w:val="004C2EF0"/>
    <w:rsid w:val="004C33D5"/>
    <w:rsid w:val="004C359B"/>
    <w:rsid w:val="004C39DF"/>
    <w:rsid w:val="004C3CE1"/>
    <w:rsid w:val="004C3ED2"/>
    <w:rsid w:val="004C42C7"/>
    <w:rsid w:val="004C5746"/>
    <w:rsid w:val="004C5BB1"/>
    <w:rsid w:val="004C626B"/>
    <w:rsid w:val="004C6450"/>
    <w:rsid w:val="004C6AF0"/>
    <w:rsid w:val="004C6EBA"/>
    <w:rsid w:val="004C7FB7"/>
    <w:rsid w:val="004D01A4"/>
    <w:rsid w:val="004D022B"/>
    <w:rsid w:val="004D0514"/>
    <w:rsid w:val="004D0982"/>
    <w:rsid w:val="004D0C76"/>
    <w:rsid w:val="004D1093"/>
    <w:rsid w:val="004D17AA"/>
    <w:rsid w:val="004D2562"/>
    <w:rsid w:val="004D3474"/>
    <w:rsid w:val="004D3B85"/>
    <w:rsid w:val="004D517F"/>
    <w:rsid w:val="004D563E"/>
    <w:rsid w:val="004D584B"/>
    <w:rsid w:val="004D589A"/>
    <w:rsid w:val="004D5CE8"/>
    <w:rsid w:val="004D5D25"/>
    <w:rsid w:val="004D6B22"/>
    <w:rsid w:val="004D7682"/>
    <w:rsid w:val="004D7703"/>
    <w:rsid w:val="004D7858"/>
    <w:rsid w:val="004D7A1C"/>
    <w:rsid w:val="004E0273"/>
    <w:rsid w:val="004E0501"/>
    <w:rsid w:val="004E0ADB"/>
    <w:rsid w:val="004E3C89"/>
    <w:rsid w:val="004E3F75"/>
    <w:rsid w:val="004E43D3"/>
    <w:rsid w:val="004E47C6"/>
    <w:rsid w:val="004E4B47"/>
    <w:rsid w:val="004E5592"/>
    <w:rsid w:val="004E60EE"/>
    <w:rsid w:val="004E6D3D"/>
    <w:rsid w:val="004E71F2"/>
    <w:rsid w:val="004E7E34"/>
    <w:rsid w:val="004F01AF"/>
    <w:rsid w:val="004F1CFD"/>
    <w:rsid w:val="004F1E92"/>
    <w:rsid w:val="004F1FD2"/>
    <w:rsid w:val="004F22B3"/>
    <w:rsid w:val="004F246C"/>
    <w:rsid w:val="004F2C8C"/>
    <w:rsid w:val="004F3965"/>
    <w:rsid w:val="004F440E"/>
    <w:rsid w:val="004F5068"/>
    <w:rsid w:val="004F6430"/>
    <w:rsid w:val="004F6E7F"/>
    <w:rsid w:val="004F7447"/>
    <w:rsid w:val="00500D9E"/>
    <w:rsid w:val="00501BD4"/>
    <w:rsid w:val="00501CC8"/>
    <w:rsid w:val="00503D57"/>
    <w:rsid w:val="0050441A"/>
    <w:rsid w:val="00504637"/>
    <w:rsid w:val="005053E4"/>
    <w:rsid w:val="005077E2"/>
    <w:rsid w:val="00507EC7"/>
    <w:rsid w:val="00510384"/>
    <w:rsid w:val="005104FC"/>
    <w:rsid w:val="00510700"/>
    <w:rsid w:val="0051093A"/>
    <w:rsid w:val="00510980"/>
    <w:rsid w:val="00511729"/>
    <w:rsid w:val="0051200C"/>
    <w:rsid w:val="00513BB3"/>
    <w:rsid w:val="00513DA1"/>
    <w:rsid w:val="0051452B"/>
    <w:rsid w:val="0051497F"/>
    <w:rsid w:val="00514E4F"/>
    <w:rsid w:val="005168F6"/>
    <w:rsid w:val="00516DD9"/>
    <w:rsid w:val="0051712C"/>
    <w:rsid w:val="005174F6"/>
    <w:rsid w:val="005177FF"/>
    <w:rsid w:val="0052073C"/>
    <w:rsid w:val="00520C86"/>
    <w:rsid w:val="00521067"/>
    <w:rsid w:val="005217E5"/>
    <w:rsid w:val="00522079"/>
    <w:rsid w:val="00522A70"/>
    <w:rsid w:val="00522CE9"/>
    <w:rsid w:val="005240EC"/>
    <w:rsid w:val="00524F90"/>
    <w:rsid w:val="005251E2"/>
    <w:rsid w:val="0052594C"/>
    <w:rsid w:val="00525A47"/>
    <w:rsid w:val="00525DCE"/>
    <w:rsid w:val="00525EF3"/>
    <w:rsid w:val="00526680"/>
    <w:rsid w:val="00527863"/>
    <w:rsid w:val="005301F4"/>
    <w:rsid w:val="00531412"/>
    <w:rsid w:val="005328BA"/>
    <w:rsid w:val="00532B51"/>
    <w:rsid w:val="0053313E"/>
    <w:rsid w:val="00534628"/>
    <w:rsid w:val="00534D2B"/>
    <w:rsid w:val="00535FD5"/>
    <w:rsid w:val="00536D3A"/>
    <w:rsid w:val="00541160"/>
    <w:rsid w:val="0054131E"/>
    <w:rsid w:val="0054197C"/>
    <w:rsid w:val="0054209F"/>
    <w:rsid w:val="005425B2"/>
    <w:rsid w:val="005427CF"/>
    <w:rsid w:val="00542AB7"/>
    <w:rsid w:val="00543872"/>
    <w:rsid w:val="005438E3"/>
    <w:rsid w:val="00544D17"/>
    <w:rsid w:val="005453F8"/>
    <w:rsid w:val="005455AF"/>
    <w:rsid w:val="00545F4F"/>
    <w:rsid w:val="005460E4"/>
    <w:rsid w:val="00546ABC"/>
    <w:rsid w:val="00546ECB"/>
    <w:rsid w:val="00546F84"/>
    <w:rsid w:val="005472AF"/>
    <w:rsid w:val="005478C3"/>
    <w:rsid w:val="00547986"/>
    <w:rsid w:val="005517E6"/>
    <w:rsid w:val="00553589"/>
    <w:rsid w:val="005539F5"/>
    <w:rsid w:val="00554837"/>
    <w:rsid w:val="00554F55"/>
    <w:rsid w:val="00556633"/>
    <w:rsid w:val="00556D73"/>
    <w:rsid w:val="00556EDC"/>
    <w:rsid w:val="005577ED"/>
    <w:rsid w:val="005579D6"/>
    <w:rsid w:val="00560C97"/>
    <w:rsid w:val="0056187B"/>
    <w:rsid w:val="00562180"/>
    <w:rsid w:val="005632D2"/>
    <w:rsid w:val="005633C0"/>
    <w:rsid w:val="00563519"/>
    <w:rsid w:val="00563881"/>
    <w:rsid w:val="0056419A"/>
    <w:rsid w:val="005644E0"/>
    <w:rsid w:val="00564AE1"/>
    <w:rsid w:val="005651AD"/>
    <w:rsid w:val="00565664"/>
    <w:rsid w:val="005657C1"/>
    <w:rsid w:val="00565CAD"/>
    <w:rsid w:val="00565F0F"/>
    <w:rsid w:val="005670D6"/>
    <w:rsid w:val="0056785A"/>
    <w:rsid w:val="00570005"/>
    <w:rsid w:val="00570177"/>
    <w:rsid w:val="005705EB"/>
    <w:rsid w:val="00570616"/>
    <w:rsid w:val="00570F8C"/>
    <w:rsid w:val="0057119A"/>
    <w:rsid w:val="00571B0D"/>
    <w:rsid w:val="00571F92"/>
    <w:rsid w:val="005726BC"/>
    <w:rsid w:val="00572CE1"/>
    <w:rsid w:val="00572FA4"/>
    <w:rsid w:val="00573B98"/>
    <w:rsid w:val="00574752"/>
    <w:rsid w:val="00574A0C"/>
    <w:rsid w:val="0057514D"/>
    <w:rsid w:val="005757F7"/>
    <w:rsid w:val="005759C9"/>
    <w:rsid w:val="00575B01"/>
    <w:rsid w:val="00575BE5"/>
    <w:rsid w:val="00575E0A"/>
    <w:rsid w:val="00576D10"/>
    <w:rsid w:val="0057731A"/>
    <w:rsid w:val="00577B5E"/>
    <w:rsid w:val="005805E1"/>
    <w:rsid w:val="00580672"/>
    <w:rsid w:val="0058194D"/>
    <w:rsid w:val="0058278A"/>
    <w:rsid w:val="005836F5"/>
    <w:rsid w:val="0058379C"/>
    <w:rsid w:val="00583FA7"/>
    <w:rsid w:val="005848EE"/>
    <w:rsid w:val="00584AA6"/>
    <w:rsid w:val="00584BDF"/>
    <w:rsid w:val="0058572A"/>
    <w:rsid w:val="0058593E"/>
    <w:rsid w:val="00585B05"/>
    <w:rsid w:val="005860D6"/>
    <w:rsid w:val="005864C2"/>
    <w:rsid w:val="00586632"/>
    <w:rsid w:val="005873C9"/>
    <w:rsid w:val="00587948"/>
    <w:rsid w:val="005879EF"/>
    <w:rsid w:val="005910E9"/>
    <w:rsid w:val="00591211"/>
    <w:rsid w:val="00591887"/>
    <w:rsid w:val="00591EA7"/>
    <w:rsid w:val="00591FC5"/>
    <w:rsid w:val="005924B6"/>
    <w:rsid w:val="00592815"/>
    <w:rsid w:val="005934B8"/>
    <w:rsid w:val="005941AC"/>
    <w:rsid w:val="0059441F"/>
    <w:rsid w:val="00594DD5"/>
    <w:rsid w:val="00595440"/>
    <w:rsid w:val="00595525"/>
    <w:rsid w:val="0059607B"/>
    <w:rsid w:val="005963FC"/>
    <w:rsid w:val="00597370"/>
    <w:rsid w:val="005975F0"/>
    <w:rsid w:val="005A0637"/>
    <w:rsid w:val="005A0818"/>
    <w:rsid w:val="005A0F42"/>
    <w:rsid w:val="005A1CA9"/>
    <w:rsid w:val="005A1DEB"/>
    <w:rsid w:val="005A331D"/>
    <w:rsid w:val="005A37D3"/>
    <w:rsid w:val="005A4563"/>
    <w:rsid w:val="005A50D7"/>
    <w:rsid w:val="005A6A25"/>
    <w:rsid w:val="005A6B37"/>
    <w:rsid w:val="005A6C3E"/>
    <w:rsid w:val="005A7C83"/>
    <w:rsid w:val="005B0A20"/>
    <w:rsid w:val="005B349D"/>
    <w:rsid w:val="005B3F10"/>
    <w:rsid w:val="005B4370"/>
    <w:rsid w:val="005B4535"/>
    <w:rsid w:val="005B4D12"/>
    <w:rsid w:val="005B4EF5"/>
    <w:rsid w:val="005B555E"/>
    <w:rsid w:val="005B62F6"/>
    <w:rsid w:val="005B7A9F"/>
    <w:rsid w:val="005B7CA5"/>
    <w:rsid w:val="005B7D99"/>
    <w:rsid w:val="005C013B"/>
    <w:rsid w:val="005C053F"/>
    <w:rsid w:val="005C087A"/>
    <w:rsid w:val="005C09F7"/>
    <w:rsid w:val="005C1449"/>
    <w:rsid w:val="005C1629"/>
    <w:rsid w:val="005C2443"/>
    <w:rsid w:val="005C2C5E"/>
    <w:rsid w:val="005C313C"/>
    <w:rsid w:val="005C3B32"/>
    <w:rsid w:val="005C4715"/>
    <w:rsid w:val="005C494E"/>
    <w:rsid w:val="005C4A9B"/>
    <w:rsid w:val="005C4B84"/>
    <w:rsid w:val="005C5FC6"/>
    <w:rsid w:val="005C61F2"/>
    <w:rsid w:val="005C68B2"/>
    <w:rsid w:val="005C7472"/>
    <w:rsid w:val="005C7562"/>
    <w:rsid w:val="005C7BDC"/>
    <w:rsid w:val="005C7E29"/>
    <w:rsid w:val="005D05BA"/>
    <w:rsid w:val="005D0B9C"/>
    <w:rsid w:val="005D1369"/>
    <w:rsid w:val="005D1F23"/>
    <w:rsid w:val="005D213C"/>
    <w:rsid w:val="005D39C8"/>
    <w:rsid w:val="005D4FB2"/>
    <w:rsid w:val="005D6232"/>
    <w:rsid w:val="005D6A61"/>
    <w:rsid w:val="005D6A8B"/>
    <w:rsid w:val="005D6D07"/>
    <w:rsid w:val="005D767F"/>
    <w:rsid w:val="005D7838"/>
    <w:rsid w:val="005D79EB"/>
    <w:rsid w:val="005E0461"/>
    <w:rsid w:val="005E0895"/>
    <w:rsid w:val="005E093B"/>
    <w:rsid w:val="005E1C77"/>
    <w:rsid w:val="005E2035"/>
    <w:rsid w:val="005E22DD"/>
    <w:rsid w:val="005E23A8"/>
    <w:rsid w:val="005E31DD"/>
    <w:rsid w:val="005E33D0"/>
    <w:rsid w:val="005E3652"/>
    <w:rsid w:val="005E4056"/>
    <w:rsid w:val="005E4359"/>
    <w:rsid w:val="005E465F"/>
    <w:rsid w:val="005E51A7"/>
    <w:rsid w:val="005E5221"/>
    <w:rsid w:val="005E55CA"/>
    <w:rsid w:val="005E5A0D"/>
    <w:rsid w:val="005E6994"/>
    <w:rsid w:val="005E6BDF"/>
    <w:rsid w:val="005E6C85"/>
    <w:rsid w:val="005E7B0F"/>
    <w:rsid w:val="005E7D25"/>
    <w:rsid w:val="005E7E6E"/>
    <w:rsid w:val="005F048F"/>
    <w:rsid w:val="005F0558"/>
    <w:rsid w:val="005F0A4A"/>
    <w:rsid w:val="005F0BD6"/>
    <w:rsid w:val="005F119D"/>
    <w:rsid w:val="005F162F"/>
    <w:rsid w:val="005F178A"/>
    <w:rsid w:val="005F2116"/>
    <w:rsid w:val="005F27B0"/>
    <w:rsid w:val="005F29B4"/>
    <w:rsid w:val="005F29DD"/>
    <w:rsid w:val="005F2A5C"/>
    <w:rsid w:val="005F2CE7"/>
    <w:rsid w:val="005F30F4"/>
    <w:rsid w:val="005F3355"/>
    <w:rsid w:val="005F3947"/>
    <w:rsid w:val="005F41AB"/>
    <w:rsid w:val="005F466E"/>
    <w:rsid w:val="005F5342"/>
    <w:rsid w:val="005F665C"/>
    <w:rsid w:val="005F72A3"/>
    <w:rsid w:val="00600A65"/>
    <w:rsid w:val="006011D0"/>
    <w:rsid w:val="006013FF"/>
    <w:rsid w:val="00602053"/>
    <w:rsid w:val="0060278B"/>
    <w:rsid w:val="00603144"/>
    <w:rsid w:val="006044BD"/>
    <w:rsid w:val="00605FE0"/>
    <w:rsid w:val="006060D1"/>
    <w:rsid w:val="0060650E"/>
    <w:rsid w:val="00606998"/>
    <w:rsid w:val="00606ADB"/>
    <w:rsid w:val="00606E70"/>
    <w:rsid w:val="006074C1"/>
    <w:rsid w:val="00607875"/>
    <w:rsid w:val="00607F2F"/>
    <w:rsid w:val="00610465"/>
    <w:rsid w:val="00610524"/>
    <w:rsid w:val="00611271"/>
    <w:rsid w:val="0061155E"/>
    <w:rsid w:val="00611673"/>
    <w:rsid w:val="006126E2"/>
    <w:rsid w:val="00612C35"/>
    <w:rsid w:val="006131CD"/>
    <w:rsid w:val="0061339B"/>
    <w:rsid w:val="0061349A"/>
    <w:rsid w:val="00613BB4"/>
    <w:rsid w:val="00613E19"/>
    <w:rsid w:val="0061409D"/>
    <w:rsid w:val="006147B0"/>
    <w:rsid w:val="00614B2E"/>
    <w:rsid w:val="00614E10"/>
    <w:rsid w:val="00615E44"/>
    <w:rsid w:val="006166DB"/>
    <w:rsid w:val="006168DF"/>
    <w:rsid w:val="00616EB8"/>
    <w:rsid w:val="00620F58"/>
    <w:rsid w:val="006217E4"/>
    <w:rsid w:val="00622136"/>
    <w:rsid w:val="00622B0A"/>
    <w:rsid w:val="00622DB7"/>
    <w:rsid w:val="00622DDB"/>
    <w:rsid w:val="00622DDC"/>
    <w:rsid w:val="00623351"/>
    <w:rsid w:val="006233C6"/>
    <w:rsid w:val="00623B25"/>
    <w:rsid w:val="00624538"/>
    <w:rsid w:val="00624F14"/>
    <w:rsid w:val="006265B7"/>
    <w:rsid w:val="0062751B"/>
    <w:rsid w:val="00627ABA"/>
    <w:rsid w:val="00627E5C"/>
    <w:rsid w:val="006304E8"/>
    <w:rsid w:val="00630CED"/>
    <w:rsid w:val="00630D89"/>
    <w:rsid w:val="00632ED0"/>
    <w:rsid w:val="00632FB7"/>
    <w:rsid w:val="006338FE"/>
    <w:rsid w:val="00633E63"/>
    <w:rsid w:val="00634672"/>
    <w:rsid w:val="00634983"/>
    <w:rsid w:val="00634DC8"/>
    <w:rsid w:val="0063534A"/>
    <w:rsid w:val="00635B19"/>
    <w:rsid w:val="0063632B"/>
    <w:rsid w:val="006368EF"/>
    <w:rsid w:val="0063691D"/>
    <w:rsid w:val="00636A39"/>
    <w:rsid w:val="00637AAB"/>
    <w:rsid w:val="00637AE9"/>
    <w:rsid w:val="00637C49"/>
    <w:rsid w:val="00637FFE"/>
    <w:rsid w:val="006402DE"/>
    <w:rsid w:val="006408B9"/>
    <w:rsid w:val="00642117"/>
    <w:rsid w:val="0064362C"/>
    <w:rsid w:val="00643BF8"/>
    <w:rsid w:val="00643D59"/>
    <w:rsid w:val="006441EC"/>
    <w:rsid w:val="0064446A"/>
    <w:rsid w:val="0064543F"/>
    <w:rsid w:val="006461D2"/>
    <w:rsid w:val="00646318"/>
    <w:rsid w:val="00647252"/>
    <w:rsid w:val="00650A2E"/>
    <w:rsid w:val="00652B5B"/>
    <w:rsid w:val="0065345D"/>
    <w:rsid w:val="00654ABD"/>
    <w:rsid w:val="00656A28"/>
    <w:rsid w:val="00657135"/>
    <w:rsid w:val="00657517"/>
    <w:rsid w:val="00657976"/>
    <w:rsid w:val="00657DE0"/>
    <w:rsid w:val="00660082"/>
    <w:rsid w:val="00660867"/>
    <w:rsid w:val="00660D4D"/>
    <w:rsid w:val="00662FF0"/>
    <w:rsid w:val="006631E9"/>
    <w:rsid w:val="00663AD1"/>
    <w:rsid w:val="00663EDD"/>
    <w:rsid w:val="0066411C"/>
    <w:rsid w:val="006642F8"/>
    <w:rsid w:val="00664635"/>
    <w:rsid w:val="00665312"/>
    <w:rsid w:val="00665956"/>
    <w:rsid w:val="00665D6C"/>
    <w:rsid w:val="006668A9"/>
    <w:rsid w:val="006669DA"/>
    <w:rsid w:val="00666C08"/>
    <w:rsid w:val="006671FD"/>
    <w:rsid w:val="00667DC4"/>
    <w:rsid w:val="006703D8"/>
    <w:rsid w:val="00670E16"/>
    <w:rsid w:val="0067113A"/>
    <w:rsid w:val="0067124C"/>
    <w:rsid w:val="0067136B"/>
    <w:rsid w:val="00671650"/>
    <w:rsid w:val="00672540"/>
    <w:rsid w:val="00672903"/>
    <w:rsid w:val="00672ACE"/>
    <w:rsid w:val="0067305E"/>
    <w:rsid w:val="00673BB0"/>
    <w:rsid w:val="00673FF0"/>
    <w:rsid w:val="00674D50"/>
    <w:rsid w:val="00674F2B"/>
    <w:rsid w:val="00675056"/>
    <w:rsid w:val="0067576E"/>
    <w:rsid w:val="00676796"/>
    <w:rsid w:val="00676E37"/>
    <w:rsid w:val="0067735B"/>
    <w:rsid w:val="00677ACB"/>
    <w:rsid w:val="00681224"/>
    <w:rsid w:val="006812A8"/>
    <w:rsid w:val="0068273E"/>
    <w:rsid w:val="00682A4E"/>
    <w:rsid w:val="0068318B"/>
    <w:rsid w:val="006835A7"/>
    <w:rsid w:val="00683917"/>
    <w:rsid w:val="006844F7"/>
    <w:rsid w:val="006847E1"/>
    <w:rsid w:val="00685FCF"/>
    <w:rsid w:val="006864D2"/>
    <w:rsid w:val="00686B13"/>
    <w:rsid w:val="00686E7D"/>
    <w:rsid w:val="00686EBA"/>
    <w:rsid w:val="00686ED4"/>
    <w:rsid w:val="00686F78"/>
    <w:rsid w:val="00687223"/>
    <w:rsid w:val="00690CCF"/>
    <w:rsid w:val="00690F49"/>
    <w:rsid w:val="00691E88"/>
    <w:rsid w:val="0069216E"/>
    <w:rsid w:val="00692691"/>
    <w:rsid w:val="00692725"/>
    <w:rsid w:val="00692BB2"/>
    <w:rsid w:val="00692D34"/>
    <w:rsid w:val="006937F3"/>
    <w:rsid w:val="00694AD4"/>
    <w:rsid w:val="00694F6D"/>
    <w:rsid w:val="006956F5"/>
    <w:rsid w:val="006958AD"/>
    <w:rsid w:val="00696262"/>
    <w:rsid w:val="0069681D"/>
    <w:rsid w:val="00697344"/>
    <w:rsid w:val="0069767D"/>
    <w:rsid w:val="00697EBE"/>
    <w:rsid w:val="006A0CE1"/>
    <w:rsid w:val="006A1393"/>
    <w:rsid w:val="006A3063"/>
    <w:rsid w:val="006A30D6"/>
    <w:rsid w:val="006A35B8"/>
    <w:rsid w:val="006A3BD7"/>
    <w:rsid w:val="006A41B2"/>
    <w:rsid w:val="006A4730"/>
    <w:rsid w:val="006A4848"/>
    <w:rsid w:val="006A4B1E"/>
    <w:rsid w:val="006A534B"/>
    <w:rsid w:val="006A5830"/>
    <w:rsid w:val="006A5A8F"/>
    <w:rsid w:val="006A6DDA"/>
    <w:rsid w:val="006A729C"/>
    <w:rsid w:val="006A7739"/>
    <w:rsid w:val="006A7AEF"/>
    <w:rsid w:val="006B0E98"/>
    <w:rsid w:val="006B1508"/>
    <w:rsid w:val="006B1549"/>
    <w:rsid w:val="006B1B34"/>
    <w:rsid w:val="006B2069"/>
    <w:rsid w:val="006B283C"/>
    <w:rsid w:val="006B2A2C"/>
    <w:rsid w:val="006B2D98"/>
    <w:rsid w:val="006B3AA6"/>
    <w:rsid w:val="006B4300"/>
    <w:rsid w:val="006B457F"/>
    <w:rsid w:val="006B50F0"/>
    <w:rsid w:val="006B5255"/>
    <w:rsid w:val="006B53DA"/>
    <w:rsid w:val="006B54FF"/>
    <w:rsid w:val="006B55F5"/>
    <w:rsid w:val="006B5B93"/>
    <w:rsid w:val="006B5C58"/>
    <w:rsid w:val="006B69F4"/>
    <w:rsid w:val="006B7286"/>
    <w:rsid w:val="006B72AC"/>
    <w:rsid w:val="006B7581"/>
    <w:rsid w:val="006B79CF"/>
    <w:rsid w:val="006C0ECF"/>
    <w:rsid w:val="006C15F8"/>
    <w:rsid w:val="006C33AD"/>
    <w:rsid w:val="006C45DC"/>
    <w:rsid w:val="006C4E24"/>
    <w:rsid w:val="006C571C"/>
    <w:rsid w:val="006C5A0E"/>
    <w:rsid w:val="006C5A70"/>
    <w:rsid w:val="006C7273"/>
    <w:rsid w:val="006C783D"/>
    <w:rsid w:val="006D2E21"/>
    <w:rsid w:val="006D2F12"/>
    <w:rsid w:val="006D326E"/>
    <w:rsid w:val="006D341C"/>
    <w:rsid w:val="006D372C"/>
    <w:rsid w:val="006D40EB"/>
    <w:rsid w:val="006D4431"/>
    <w:rsid w:val="006D4464"/>
    <w:rsid w:val="006D5DD7"/>
    <w:rsid w:val="006D61B0"/>
    <w:rsid w:val="006D6F3E"/>
    <w:rsid w:val="006D7942"/>
    <w:rsid w:val="006E000E"/>
    <w:rsid w:val="006E01AD"/>
    <w:rsid w:val="006E0F27"/>
    <w:rsid w:val="006E1194"/>
    <w:rsid w:val="006E1A2B"/>
    <w:rsid w:val="006E2146"/>
    <w:rsid w:val="006E28AF"/>
    <w:rsid w:val="006E356D"/>
    <w:rsid w:val="006E35F5"/>
    <w:rsid w:val="006E45D1"/>
    <w:rsid w:val="006E46F0"/>
    <w:rsid w:val="006E4B29"/>
    <w:rsid w:val="006E4C0B"/>
    <w:rsid w:val="006E4D0B"/>
    <w:rsid w:val="006E52E1"/>
    <w:rsid w:val="006E5317"/>
    <w:rsid w:val="006E5538"/>
    <w:rsid w:val="006E5CE3"/>
    <w:rsid w:val="006E6976"/>
    <w:rsid w:val="006E7217"/>
    <w:rsid w:val="006E7C46"/>
    <w:rsid w:val="006F16A5"/>
    <w:rsid w:val="006F195F"/>
    <w:rsid w:val="006F1FEF"/>
    <w:rsid w:val="006F27C1"/>
    <w:rsid w:val="006F2DAF"/>
    <w:rsid w:val="006F41B4"/>
    <w:rsid w:val="006F4413"/>
    <w:rsid w:val="006F4925"/>
    <w:rsid w:val="006F4A47"/>
    <w:rsid w:val="00700E1E"/>
    <w:rsid w:val="0070126F"/>
    <w:rsid w:val="00701F75"/>
    <w:rsid w:val="007029D7"/>
    <w:rsid w:val="00702DD7"/>
    <w:rsid w:val="00703964"/>
    <w:rsid w:val="007039ED"/>
    <w:rsid w:val="00703F48"/>
    <w:rsid w:val="0070448C"/>
    <w:rsid w:val="00706B10"/>
    <w:rsid w:val="0070768D"/>
    <w:rsid w:val="007077FE"/>
    <w:rsid w:val="00707C00"/>
    <w:rsid w:val="0071003E"/>
    <w:rsid w:val="007100EA"/>
    <w:rsid w:val="0071025C"/>
    <w:rsid w:val="00710A7B"/>
    <w:rsid w:val="00710B6D"/>
    <w:rsid w:val="00711CC0"/>
    <w:rsid w:val="0071259F"/>
    <w:rsid w:val="007139AC"/>
    <w:rsid w:val="0071431E"/>
    <w:rsid w:val="00715167"/>
    <w:rsid w:val="007155DC"/>
    <w:rsid w:val="00715DE9"/>
    <w:rsid w:val="00716131"/>
    <w:rsid w:val="00716C1B"/>
    <w:rsid w:val="00717D92"/>
    <w:rsid w:val="007214F0"/>
    <w:rsid w:val="00721AA9"/>
    <w:rsid w:val="0072208B"/>
    <w:rsid w:val="007224EB"/>
    <w:rsid w:val="007226CA"/>
    <w:rsid w:val="00722A1E"/>
    <w:rsid w:val="00723787"/>
    <w:rsid w:val="00723AA0"/>
    <w:rsid w:val="00723CC8"/>
    <w:rsid w:val="00724CCF"/>
    <w:rsid w:val="00724D79"/>
    <w:rsid w:val="0072500D"/>
    <w:rsid w:val="0072508B"/>
    <w:rsid w:val="007251E0"/>
    <w:rsid w:val="0072611E"/>
    <w:rsid w:val="007261B6"/>
    <w:rsid w:val="00726C78"/>
    <w:rsid w:val="00726C90"/>
    <w:rsid w:val="00726D3C"/>
    <w:rsid w:val="00726EB4"/>
    <w:rsid w:val="0072760C"/>
    <w:rsid w:val="007307E6"/>
    <w:rsid w:val="0073090C"/>
    <w:rsid w:val="007313C7"/>
    <w:rsid w:val="00731FE5"/>
    <w:rsid w:val="00732418"/>
    <w:rsid w:val="007324D3"/>
    <w:rsid w:val="0073254C"/>
    <w:rsid w:val="00732DDD"/>
    <w:rsid w:val="0073339E"/>
    <w:rsid w:val="007336E6"/>
    <w:rsid w:val="00733D93"/>
    <w:rsid w:val="00733F9A"/>
    <w:rsid w:val="00733FCE"/>
    <w:rsid w:val="0073429A"/>
    <w:rsid w:val="007342B0"/>
    <w:rsid w:val="007347CE"/>
    <w:rsid w:val="0073539F"/>
    <w:rsid w:val="007359FE"/>
    <w:rsid w:val="0073652F"/>
    <w:rsid w:val="00736558"/>
    <w:rsid w:val="0073655E"/>
    <w:rsid w:val="00736947"/>
    <w:rsid w:val="00736E61"/>
    <w:rsid w:val="00736F65"/>
    <w:rsid w:val="00737974"/>
    <w:rsid w:val="007405DE"/>
    <w:rsid w:val="007418E7"/>
    <w:rsid w:val="007420DE"/>
    <w:rsid w:val="0074222A"/>
    <w:rsid w:val="007426E4"/>
    <w:rsid w:val="00742918"/>
    <w:rsid w:val="00742B4A"/>
    <w:rsid w:val="00742C30"/>
    <w:rsid w:val="00743034"/>
    <w:rsid w:val="00743320"/>
    <w:rsid w:val="0074440F"/>
    <w:rsid w:val="007448BA"/>
    <w:rsid w:val="00744AC4"/>
    <w:rsid w:val="0074688A"/>
    <w:rsid w:val="00746B07"/>
    <w:rsid w:val="00746CD5"/>
    <w:rsid w:val="00750EA8"/>
    <w:rsid w:val="0075272B"/>
    <w:rsid w:val="00753467"/>
    <w:rsid w:val="007538B0"/>
    <w:rsid w:val="00753BA1"/>
    <w:rsid w:val="00753EE7"/>
    <w:rsid w:val="00753EE8"/>
    <w:rsid w:val="007561BA"/>
    <w:rsid w:val="00756590"/>
    <w:rsid w:val="00757245"/>
    <w:rsid w:val="00757764"/>
    <w:rsid w:val="0075797F"/>
    <w:rsid w:val="00757992"/>
    <w:rsid w:val="007610FB"/>
    <w:rsid w:val="00761372"/>
    <w:rsid w:val="0076347A"/>
    <w:rsid w:val="0076356F"/>
    <w:rsid w:val="007638CB"/>
    <w:rsid w:val="007639B6"/>
    <w:rsid w:val="00764B1F"/>
    <w:rsid w:val="00764EE3"/>
    <w:rsid w:val="007662DD"/>
    <w:rsid w:val="007667F4"/>
    <w:rsid w:val="00766CCF"/>
    <w:rsid w:val="00767181"/>
    <w:rsid w:val="00767386"/>
    <w:rsid w:val="007676F5"/>
    <w:rsid w:val="00767941"/>
    <w:rsid w:val="00770559"/>
    <w:rsid w:val="0077080B"/>
    <w:rsid w:val="00771BC9"/>
    <w:rsid w:val="0077251D"/>
    <w:rsid w:val="007732D2"/>
    <w:rsid w:val="007733BA"/>
    <w:rsid w:val="007738A8"/>
    <w:rsid w:val="0077430D"/>
    <w:rsid w:val="007744A7"/>
    <w:rsid w:val="0077465B"/>
    <w:rsid w:val="00774EB7"/>
    <w:rsid w:val="0077520B"/>
    <w:rsid w:val="00775CB7"/>
    <w:rsid w:val="0077606B"/>
    <w:rsid w:val="0077610D"/>
    <w:rsid w:val="00776752"/>
    <w:rsid w:val="00776BBA"/>
    <w:rsid w:val="00776BC1"/>
    <w:rsid w:val="00780987"/>
    <w:rsid w:val="00781564"/>
    <w:rsid w:val="0078168E"/>
    <w:rsid w:val="0078171C"/>
    <w:rsid w:val="00781E18"/>
    <w:rsid w:val="00781FF3"/>
    <w:rsid w:val="007831C9"/>
    <w:rsid w:val="0078371A"/>
    <w:rsid w:val="00783D13"/>
    <w:rsid w:val="00783DD9"/>
    <w:rsid w:val="00784E7F"/>
    <w:rsid w:val="0078630B"/>
    <w:rsid w:val="0078634C"/>
    <w:rsid w:val="007864F8"/>
    <w:rsid w:val="007867CF"/>
    <w:rsid w:val="00787735"/>
    <w:rsid w:val="0078778B"/>
    <w:rsid w:val="00787BC7"/>
    <w:rsid w:val="00787BE6"/>
    <w:rsid w:val="00787C9A"/>
    <w:rsid w:val="007904FC"/>
    <w:rsid w:val="00791354"/>
    <w:rsid w:val="00791537"/>
    <w:rsid w:val="00791686"/>
    <w:rsid w:val="00791DBB"/>
    <w:rsid w:val="00793F1B"/>
    <w:rsid w:val="00796E4D"/>
    <w:rsid w:val="0079773B"/>
    <w:rsid w:val="007A0954"/>
    <w:rsid w:val="007A17D1"/>
    <w:rsid w:val="007A1AB8"/>
    <w:rsid w:val="007A3376"/>
    <w:rsid w:val="007A3B22"/>
    <w:rsid w:val="007A3BE1"/>
    <w:rsid w:val="007A3E01"/>
    <w:rsid w:val="007A43DA"/>
    <w:rsid w:val="007A530D"/>
    <w:rsid w:val="007A5395"/>
    <w:rsid w:val="007A5C5A"/>
    <w:rsid w:val="007A5C87"/>
    <w:rsid w:val="007A6401"/>
    <w:rsid w:val="007A75CF"/>
    <w:rsid w:val="007A76B1"/>
    <w:rsid w:val="007A7E66"/>
    <w:rsid w:val="007B030A"/>
    <w:rsid w:val="007B06C0"/>
    <w:rsid w:val="007B11D9"/>
    <w:rsid w:val="007B1243"/>
    <w:rsid w:val="007B1377"/>
    <w:rsid w:val="007B1478"/>
    <w:rsid w:val="007B17AE"/>
    <w:rsid w:val="007B1B7D"/>
    <w:rsid w:val="007B1D09"/>
    <w:rsid w:val="007B3517"/>
    <w:rsid w:val="007B3D2C"/>
    <w:rsid w:val="007B3D9C"/>
    <w:rsid w:val="007B4AFA"/>
    <w:rsid w:val="007B55FE"/>
    <w:rsid w:val="007B58EF"/>
    <w:rsid w:val="007B597E"/>
    <w:rsid w:val="007B5C5C"/>
    <w:rsid w:val="007B5E12"/>
    <w:rsid w:val="007B68C4"/>
    <w:rsid w:val="007B75AE"/>
    <w:rsid w:val="007B7AD7"/>
    <w:rsid w:val="007C0B4B"/>
    <w:rsid w:val="007C1746"/>
    <w:rsid w:val="007C1C7E"/>
    <w:rsid w:val="007C2471"/>
    <w:rsid w:val="007C2BF6"/>
    <w:rsid w:val="007C3716"/>
    <w:rsid w:val="007C3EBC"/>
    <w:rsid w:val="007C4C8B"/>
    <w:rsid w:val="007C4D05"/>
    <w:rsid w:val="007C5200"/>
    <w:rsid w:val="007C5310"/>
    <w:rsid w:val="007C5A0B"/>
    <w:rsid w:val="007C611C"/>
    <w:rsid w:val="007C64DE"/>
    <w:rsid w:val="007C66F0"/>
    <w:rsid w:val="007C68D8"/>
    <w:rsid w:val="007C70EA"/>
    <w:rsid w:val="007C70F0"/>
    <w:rsid w:val="007C72B4"/>
    <w:rsid w:val="007C7E24"/>
    <w:rsid w:val="007D03D5"/>
    <w:rsid w:val="007D03EC"/>
    <w:rsid w:val="007D1E0B"/>
    <w:rsid w:val="007D208B"/>
    <w:rsid w:val="007D2B94"/>
    <w:rsid w:val="007D2BF8"/>
    <w:rsid w:val="007D2C0C"/>
    <w:rsid w:val="007D3049"/>
    <w:rsid w:val="007D315D"/>
    <w:rsid w:val="007D38B5"/>
    <w:rsid w:val="007D3D86"/>
    <w:rsid w:val="007D408F"/>
    <w:rsid w:val="007D43A7"/>
    <w:rsid w:val="007D4C13"/>
    <w:rsid w:val="007D4E41"/>
    <w:rsid w:val="007D508A"/>
    <w:rsid w:val="007D5BD9"/>
    <w:rsid w:val="007D650F"/>
    <w:rsid w:val="007D7104"/>
    <w:rsid w:val="007D797D"/>
    <w:rsid w:val="007D7DAB"/>
    <w:rsid w:val="007E0B39"/>
    <w:rsid w:val="007E0C5F"/>
    <w:rsid w:val="007E0D70"/>
    <w:rsid w:val="007E14DC"/>
    <w:rsid w:val="007E20DA"/>
    <w:rsid w:val="007E32DD"/>
    <w:rsid w:val="007E33A2"/>
    <w:rsid w:val="007E34B6"/>
    <w:rsid w:val="007E39B1"/>
    <w:rsid w:val="007E4024"/>
    <w:rsid w:val="007E50F2"/>
    <w:rsid w:val="007E56C6"/>
    <w:rsid w:val="007E5D52"/>
    <w:rsid w:val="007E5DD7"/>
    <w:rsid w:val="007E6425"/>
    <w:rsid w:val="007E7FC7"/>
    <w:rsid w:val="007F07D9"/>
    <w:rsid w:val="007F0EA3"/>
    <w:rsid w:val="007F19E8"/>
    <w:rsid w:val="007F1A32"/>
    <w:rsid w:val="007F1CFD"/>
    <w:rsid w:val="007F1D8C"/>
    <w:rsid w:val="007F2679"/>
    <w:rsid w:val="007F37BC"/>
    <w:rsid w:val="007F3DFF"/>
    <w:rsid w:val="007F4F3A"/>
    <w:rsid w:val="007F573C"/>
    <w:rsid w:val="007F6186"/>
    <w:rsid w:val="007F76E9"/>
    <w:rsid w:val="00800719"/>
    <w:rsid w:val="0080084B"/>
    <w:rsid w:val="008008D6"/>
    <w:rsid w:val="00800AB5"/>
    <w:rsid w:val="00800D8F"/>
    <w:rsid w:val="00801289"/>
    <w:rsid w:val="0080183C"/>
    <w:rsid w:val="0080217C"/>
    <w:rsid w:val="008025D3"/>
    <w:rsid w:val="00802949"/>
    <w:rsid w:val="00802C57"/>
    <w:rsid w:val="00802CC8"/>
    <w:rsid w:val="00803FCB"/>
    <w:rsid w:val="008047E2"/>
    <w:rsid w:val="00804C14"/>
    <w:rsid w:val="00804DCF"/>
    <w:rsid w:val="008060D3"/>
    <w:rsid w:val="00806331"/>
    <w:rsid w:val="00806535"/>
    <w:rsid w:val="008069FA"/>
    <w:rsid w:val="00807AAD"/>
    <w:rsid w:val="00807BA9"/>
    <w:rsid w:val="00807D66"/>
    <w:rsid w:val="00810120"/>
    <w:rsid w:val="00810900"/>
    <w:rsid w:val="00810DEB"/>
    <w:rsid w:val="00810E88"/>
    <w:rsid w:val="008113EE"/>
    <w:rsid w:val="00812577"/>
    <w:rsid w:val="00812F38"/>
    <w:rsid w:val="00813955"/>
    <w:rsid w:val="00813BD1"/>
    <w:rsid w:val="00813E1A"/>
    <w:rsid w:val="008160DD"/>
    <w:rsid w:val="00816320"/>
    <w:rsid w:val="00816B61"/>
    <w:rsid w:val="008172E0"/>
    <w:rsid w:val="00817941"/>
    <w:rsid w:val="00817DAB"/>
    <w:rsid w:val="008200CA"/>
    <w:rsid w:val="0082049E"/>
    <w:rsid w:val="0082068A"/>
    <w:rsid w:val="008208D5"/>
    <w:rsid w:val="00820F76"/>
    <w:rsid w:val="00821399"/>
    <w:rsid w:val="008218FD"/>
    <w:rsid w:val="00821A26"/>
    <w:rsid w:val="00821D53"/>
    <w:rsid w:val="00821F5F"/>
    <w:rsid w:val="00822382"/>
    <w:rsid w:val="0082313A"/>
    <w:rsid w:val="008248FB"/>
    <w:rsid w:val="0082532F"/>
    <w:rsid w:val="008259E2"/>
    <w:rsid w:val="00826252"/>
    <w:rsid w:val="008262BB"/>
    <w:rsid w:val="00826811"/>
    <w:rsid w:val="00826AE2"/>
    <w:rsid w:val="008272C1"/>
    <w:rsid w:val="00827315"/>
    <w:rsid w:val="0082762D"/>
    <w:rsid w:val="00830393"/>
    <w:rsid w:val="008307C1"/>
    <w:rsid w:val="008308C7"/>
    <w:rsid w:val="00831287"/>
    <w:rsid w:val="008315E3"/>
    <w:rsid w:val="00834785"/>
    <w:rsid w:val="00834A5F"/>
    <w:rsid w:val="00834C94"/>
    <w:rsid w:val="008368A7"/>
    <w:rsid w:val="00836AF4"/>
    <w:rsid w:val="00836F59"/>
    <w:rsid w:val="008371DC"/>
    <w:rsid w:val="0083721C"/>
    <w:rsid w:val="0083732C"/>
    <w:rsid w:val="008375BB"/>
    <w:rsid w:val="00840D27"/>
    <w:rsid w:val="008412A1"/>
    <w:rsid w:val="00841515"/>
    <w:rsid w:val="00841D19"/>
    <w:rsid w:val="0084334D"/>
    <w:rsid w:val="00843677"/>
    <w:rsid w:val="00843975"/>
    <w:rsid w:val="008439F7"/>
    <w:rsid w:val="00843E07"/>
    <w:rsid w:val="00844625"/>
    <w:rsid w:val="00844937"/>
    <w:rsid w:val="00845549"/>
    <w:rsid w:val="008455DF"/>
    <w:rsid w:val="00845894"/>
    <w:rsid w:val="00845ACD"/>
    <w:rsid w:val="00846223"/>
    <w:rsid w:val="0084647D"/>
    <w:rsid w:val="008465E7"/>
    <w:rsid w:val="00846C12"/>
    <w:rsid w:val="00847F96"/>
    <w:rsid w:val="00850D41"/>
    <w:rsid w:val="00850F3B"/>
    <w:rsid w:val="008513B4"/>
    <w:rsid w:val="008517D5"/>
    <w:rsid w:val="00852387"/>
    <w:rsid w:val="00852BDB"/>
    <w:rsid w:val="00854DF1"/>
    <w:rsid w:val="008551C9"/>
    <w:rsid w:val="00855803"/>
    <w:rsid w:val="008568FE"/>
    <w:rsid w:val="008572E5"/>
    <w:rsid w:val="0085790F"/>
    <w:rsid w:val="00857AF5"/>
    <w:rsid w:val="0086266C"/>
    <w:rsid w:val="00862BB0"/>
    <w:rsid w:val="00862E92"/>
    <w:rsid w:val="0086370D"/>
    <w:rsid w:val="00863858"/>
    <w:rsid w:val="0086422D"/>
    <w:rsid w:val="00864687"/>
    <w:rsid w:val="008648E6"/>
    <w:rsid w:val="00864954"/>
    <w:rsid w:val="00865DE8"/>
    <w:rsid w:val="00866450"/>
    <w:rsid w:val="0086730E"/>
    <w:rsid w:val="00867BBA"/>
    <w:rsid w:val="008702B5"/>
    <w:rsid w:val="00870504"/>
    <w:rsid w:val="00871773"/>
    <w:rsid w:val="00871EC7"/>
    <w:rsid w:val="00873072"/>
    <w:rsid w:val="00873A7A"/>
    <w:rsid w:val="00873CEA"/>
    <w:rsid w:val="00874DAC"/>
    <w:rsid w:val="00875412"/>
    <w:rsid w:val="0087542F"/>
    <w:rsid w:val="0087568B"/>
    <w:rsid w:val="00876EFF"/>
    <w:rsid w:val="008778A5"/>
    <w:rsid w:val="00877AAC"/>
    <w:rsid w:val="00877F80"/>
    <w:rsid w:val="00877FB2"/>
    <w:rsid w:val="00880468"/>
    <w:rsid w:val="00881D5A"/>
    <w:rsid w:val="00881EE2"/>
    <w:rsid w:val="00882D8C"/>
    <w:rsid w:val="008837E2"/>
    <w:rsid w:val="00884473"/>
    <w:rsid w:val="008854C8"/>
    <w:rsid w:val="008857BB"/>
    <w:rsid w:val="00885C9A"/>
    <w:rsid w:val="00886574"/>
    <w:rsid w:val="00886ED8"/>
    <w:rsid w:val="0088706A"/>
    <w:rsid w:val="0088743B"/>
    <w:rsid w:val="008876D4"/>
    <w:rsid w:val="008877E3"/>
    <w:rsid w:val="00887F8D"/>
    <w:rsid w:val="00890011"/>
    <w:rsid w:val="00890019"/>
    <w:rsid w:val="0089021F"/>
    <w:rsid w:val="00890BF5"/>
    <w:rsid w:val="0089153E"/>
    <w:rsid w:val="00892E98"/>
    <w:rsid w:val="00893BA3"/>
    <w:rsid w:val="00893CE2"/>
    <w:rsid w:val="00894D09"/>
    <w:rsid w:val="0089513A"/>
    <w:rsid w:val="0089551A"/>
    <w:rsid w:val="00895A21"/>
    <w:rsid w:val="00896C61"/>
    <w:rsid w:val="00897000"/>
    <w:rsid w:val="008971AD"/>
    <w:rsid w:val="008973B0"/>
    <w:rsid w:val="0089796E"/>
    <w:rsid w:val="008A036F"/>
    <w:rsid w:val="008A0720"/>
    <w:rsid w:val="008A1CFA"/>
    <w:rsid w:val="008A24D1"/>
    <w:rsid w:val="008A2B52"/>
    <w:rsid w:val="008A30FB"/>
    <w:rsid w:val="008A4D00"/>
    <w:rsid w:val="008A5E6D"/>
    <w:rsid w:val="008A7B0B"/>
    <w:rsid w:val="008B01AC"/>
    <w:rsid w:val="008B09E4"/>
    <w:rsid w:val="008B0C2C"/>
    <w:rsid w:val="008B0D38"/>
    <w:rsid w:val="008B1713"/>
    <w:rsid w:val="008B178C"/>
    <w:rsid w:val="008B1C65"/>
    <w:rsid w:val="008B210A"/>
    <w:rsid w:val="008B2AF7"/>
    <w:rsid w:val="008B3127"/>
    <w:rsid w:val="008B34E2"/>
    <w:rsid w:val="008B4670"/>
    <w:rsid w:val="008B4F5F"/>
    <w:rsid w:val="008B50D4"/>
    <w:rsid w:val="008B5287"/>
    <w:rsid w:val="008B5B1E"/>
    <w:rsid w:val="008B63A6"/>
    <w:rsid w:val="008B6403"/>
    <w:rsid w:val="008B78AB"/>
    <w:rsid w:val="008B7BEB"/>
    <w:rsid w:val="008C00A1"/>
    <w:rsid w:val="008C0D9C"/>
    <w:rsid w:val="008C210F"/>
    <w:rsid w:val="008C2148"/>
    <w:rsid w:val="008C23D8"/>
    <w:rsid w:val="008C262B"/>
    <w:rsid w:val="008C2F0E"/>
    <w:rsid w:val="008C334B"/>
    <w:rsid w:val="008C46EB"/>
    <w:rsid w:val="008C48CB"/>
    <w:rsid w:val="008C4B61"/>
    <w:rsid w:val="008C5209"/>
    <w:rsid w:val="008C5213"/>
    <w:rsid w:val="008C5495"/>
    <w:rsid w:val="008C5D6F"/>
    <w:rsid w:val="008C68AB"/>
    <w:rsid w:val="008C6BE5"/>
    <w:rsid w:val="008C6E85"/>
    <w:rsid w:val="008C7467"/>
    <w:rsid w:val="008C7D38"/>
    <w:rsid w:val="008D0A87"/>
    <w:rsid w:val="008D1644"/>
    <w:rsid w:val="008D19BE"/>
    <w:rsid w:val="008D27C1"/>
    <w:rsid w:val="008D2A8B"/>
    <w:rsid w:val="008D30DF"/>
    <w:rsid w:val="008D35D5"/>
    <w:rsid w:val="008D3738"/>
    <w:rsid w:val="008D37DE"/>
    <w:rsid w:val="008D3A4B"/>
    <w:rsid w:val="008D42E7"/>
    <w:rsid w:val="008D46B0"/>
    <w:rsid w:val="008D49AB"/>
    <w:rsid w:val="008D56B4"/>
    <w:rsid w:val="008D59D9"/>
    <w:rsid w:val="008D5A6D"/>
    <w:rsid w:val="008D5B33"/>
    <w:rsid w:val="008D6235"/>
    <w:rsid w:val="008D6439"/>
    <w:rsid w:val="008D685F"/>
    <w:rsid w:val="008D6F4F"/>
    <w:rsid w:val="008D716D"/>
    <w:rsid w:val="008D76F1"/>
    <w:rsid w:val="008D79A6"/>
    <w:rsid w:val="008D7DA0"/>
    <w:rsid w:val="008E06C4"/>
    <w:rsid w:val="008E09F7"/>
    <w:rsid w:val="008E0AA2"/>
    <w:rsid w:val="008E0D7F"/>
    <w:rsid w:val="008E1251"/>
    <w:rsid w:val="008E195F"/>
    <w:rsid w:val="008E2432"/>
    <w:rsid w:val="008E2705"/>
    <w:rsid w:val="008E39BC"/>
    <w:rsid w:val="008E3B9D"/>
    <w:rsid w:val="008E424E"/>
    <w:rsid w:val="008E4498"/>
    <w:rsid w:val="008E450B"/>
    <w:rsid w:val="008E50C2"/>
    <w:rsid w:val="008E59A4"/>
    <w:rsid w:val="008E5C22"/>
    <w:rsid w:val="008E606C"/>
    <w:rsid w:val="008E727C"/>
    <w:rsid w:val="008E7457"/>
    <w:rsid w:val="008E77A1"/>
    <w:rsid w:val="008F027E"/>
    <w:rsid w:val="008F1D2D"/>
    <w:rsid w:val="008F1D87"/>
    <w:rsid w:val="008F2C68"/>
    <w:rsid w:val="008F417C"/>
    <w:rsid w:val="008F41B5"/>
    <w:rsid w:val="008F4772"/>
    <w:rsid w:val="008F4F3F"/>
    <w:rsid w:val="008F54E2"/>
    <w:rsid w:val="008F5542"/>
    <w:rsid w:val="008F55EA"/>
    <w:rsid w:val="008F5F75"/>
    <w:rsid w:val="008F6F30"/>
    <w:rsid w:val="008F7C24"/>
    <w:rsid w:val="0090078F"/>
    <w:rsid w:val="00900E1C"/>
    <w:rsid w:val="009010CA"/>
    <w:rsid w:val="009011B6"/>
    <w:rsid w:val="009012E2"/>
    <w:rsid w:val="009014D0"/>
    <w:rsid w:val="00901B26"/>
    <w:rsid w:val="00902C45"/>
    <w:rsid w:val="009043BB"/>
    <w:rsid w:val="00904420"/>
    <w:rsid w:val="009059BE"/>
    <w:rsid w:val="00906024"/>
    <w:rsid w:val="009074D4"/>
    <w:rsid w:val="0090786B"/>
    <w:rsid w:val="00910532"/>
    <w:rsid w:val="00910B53"/>
    <w:rsid w:val="00910D81"/>
    <w:rsid w:val="009110AB"/>
    <w:rsid w:val="009139C2"/>
    <w:rsid w:val="00913B5C"/>
    <w:rsid w:val="00913CB8"/>
    <w:rsid w:val="009144B7"/>
    <w:rsid w:val="00915C90"/>
    <w:rsid w:val="00916197"/>
    <w:rsid w:val="009162B9"/>
    <w:rsid w:val="009175E0"/>
    <w:rsid w:val="009209C5"/>
    <w:rsid w:val="009212D0"/>
    <w:rsid w:val="00921B14"/>
    <w:rsid w:val="00922232"/>
    <w:rsid w:val="00922278"/>
    <w:rsid w:val="0092284E"/>
    <w:rsid w:val="009232F0"/>
    <w:rsid w:val="009234EB"/>
    <w:rsid w:val="009251DE"/>
    <w:rsid w:val="009252BD"/>
    <w:rsid w:val="00925E33"/>
    <w:rsid w:val="009263B2"/>
    <w:rsid w:val="00926458"/>
    <w:rsid w:val="00926A4E"/>
    <w:rsid w:val="00926A54"/>
    <w:rsid w:val="009273F3"/>
    <w:rsid w:val="00927F2C"/>
    <w:rsid w:val="00927F9A"/>
    <w:rsid w:val="00930571"/>
    <w:rsid w:val="00930803"/>
    <w:rsid w:val="00930B10"/>
    <w:rsid w:val="00930E94"/>
    <w:rsid w:val="009318DF"/>
    <w:rsid w:val="00931E05"/>
    <w:rsid w:val="00932A2F"/>
    <w:rsid w:val="00932DD0"/>
    <w:rsid w:val="00933176"/>
    <w:rsid w:val="009331DF"/>
    <w:rsid w:val="00933FE2"/>
    <w:rsid w:val="0093408F"/>
    <w:rsid w:val="00934669"/>
    <w:rsid w:val="00934710"/>
    <w:rsid w:val="0093488C"/>
    <w:rsid w:val="00934C73"/>
    <w:rsid w:val="00934E33"/>
    <w:rsid w:val="009358CA"/>
    <w:rsid w:val="00936FDF"/>
    <w:rsid w:val="009413D6"/>
    <w:rsid w:val="00941529"/>
    <w:rsid w:val="00942AB3"/>
    <w:rsid w:val="00942FEE"/>
    <w:rsid w:val="009432D9"/>
    <w:rsid w:val="0094349C"/>
    <w:rsid w:val="009438CB"/>
    <w:rsid w:val="00943BA6"/>
    <w:rsid w:val="00943EAF"/>
    <w:rsid w:val="0094464C"/>
    <w:rsid w:val="00945D1B"/>
    <w:rsid w:val="00947244"/>
    <w:rsid w:val="00947A50"/>
    <w:rsid w:val="00947CF8"/>
    <w:rsid w:val="00950522"/>
    <w:rsid w:val="009507FC"/>
    <w:rsid w:val="009509C8"/>
    <w:rsid w:val="009527FF"/>
    <w:rsid w:val="00952E63"/>
    <w:rsid w:val="009531FA"/>
    <w:rsid w:val="009532A9"/>
    <w:rsid w:val="009534B9"/>
    <w:rsid w:val="009537F9"/>
    <w:rsid w:val="00953DE4"/>
    <w:rsid w:val="0095453E"/>
    <w:rsid w:val="00955CE8"/>
    <w:rsid w:val="00957670"/>
    <w:rsid w:val="00957A04"/>
    <w:rsid w:val="00957A6F"/>
    <w:rsid w:val="00957ECE"/>
    <w:rsid w:val="009601A6"/>
    <w:rsid w:val="00960306"/>
    <w:rsid w:val="00960DCA"/>
    <w:rsid w:val="00960E24"/>
    <w:rsid w:val="00961060"/>
    <w:rsid w:val="00961606"/>
    <w:rsid w:val="00961B51"/>
    <w:rsid w:val="00961C4C"/>
    <w:rsid w:val="0096271A"/>
    <w:rsid w:val="00962A4D"/>
    <w:rsid w:val="00962DCF"/>
    <w:rsid w:val="00963240"/>
    <w:rsid w:val="009637B4"/>
    <w:rsid w:val="009641DF"/>
    <w:rsid w:val="009643F9"/>
    <w:rsid w:val="00964EDB"/>
    <w:rsid w:val="009663D3"/>
    <w:rsid w:val="0096655F"/>
    <w:rsid w:val="00966A73"/>
    <w:rsid w:val="00966E62"/>
    <w:rsid w:val="009673A7"/>
    <w:rsid w:val="009677AD"/>
    <w:rsid w:val="00967AF6"/>
    <w:rsid w:val="00967C7A"/>
    <w:rsid w:val="009700C6"/>
    <w:rsid w:val="0097044E"/>
    <w:rsid w:val="00970FA1"/>
    <w:rsid w:val="00971172"/>
    <w:rsid w:val="00972114"/>
    <w:rsid w:val="00972D82"/>
    <w:rsid w:val="00972FB1"/>
    <w:rsid w:val="00973385"/>
    <w:rsid w:val="009741B7"/>
    <w:rsid w:val="0097435F"/>
    <w:rsid w:val="009743BA"/>
    <w:rsid w:val="00974430"/>
    <w:rsid w:val="009749F8"/>
    <w:rsid w:val="00974C94"/>
    <w:rsid w:val="009753E2"/>
    <w:rsid w:val="0097666C"/>
    <w:rsid w:val="009768B4"/>
    <w:rsid w:val="009774AF"/>
    <w:rsid w:val="009776BC"/>
    <w:rsid w:val="00977A6D"/>
    <w:rsid w:val="00977A7E"/>
    <w:rsid w:val="00977F35"/>
    <w:rsid w:val="009801B6"/>
    <w:rsid w:val="0098090C"/>
    <w:rsid w:val="009814D3"/>
    <w:rsid w:val="0098220C"/>
    <w:rsid w:val="009822B6"/>
    <w:rsid w:val="00983309"/>
    <w:rsid w:val="009833CE"/>
    <w:rsid w:val="009834D7"/>
    <w:rsid w:val="009835BB"/>
    <w:rsid w:val="00983E77"/>
    <w:rsid w:val="00983FD7"/>
    <w:rsid w:val="009841D7"/>
    <w:rsid w:val="00984F92"/>
    <w:rsid w:val="0098524C"/>
    <w:rsid w:val="0098524F"/>
    <w:rsid w:val="009854CE"/>
    <w:rsid w:val="00985A40"/>
    <w:rsid w:val="00985C94"/>
    <w:rsid w:val="00985E20"/>
    <w:rsid w:val="009864CE"/>
    <w:rsid w:val="009871B1"/>
    <w:rsid w:val="00987217"/>
    <w:rsid w:val="00987D72"/>
    <w:rsid w:val="00987EB9"/>
    <w:rsid w:val="0099031F"/>
    <w:rsid w:val="00990626"/>
    <w:rsid w:val="00991A8B"/>
    <w:rsid w:val="00991EB0"/>
    <w:rsid w:val="00992E48"/>
    <w:rsid w:val="00992F2A"/>
    <w:rsid w:val="009934F6"/>
    <w:rsid w:val="00993B8B"/>
    <w:rsid w:val="00993F8C"/>
    <w:rsid w:val="00994206"/>
    <w:rsid w:val="009943D0"/>
    <w:rsid w:val="00994550"/>
    <w:rsid w:val="009951B6"/>
    <w:rsid w:val="009953AF"/>
    <w:rsid w:val="00995678"/>
    <w:rsid w:val="009956E6"/>
    <w:rsid w:val="00995CDD"/>
    <w:rsid w:val="00997FE0"/>
    <w:rsid w:val="009A042E"/>
    <w:rsid w:val="009A1539"/>
    <w:rsid w:val="009A15C0"/>
    <w:rsid w:val="009A162C"/>
    <w:rsid w:val="009A1ACF"/>
    <w:rsid w:val="009A2D82"/>
    <w:rsid w:val="009A3420"/>
    <w:rsid w:val="009A3A3A"/>
    <w:rsid w:val="009A46CC"/>
    <w:rsid w:val="009A5110"/>
    <w:rsid w:val="009A52DA"/>
    <w:rsid w:val="009A5717"/>
    <w:rsid w:val="009A58C1"/>
    <w:rsid w:val="009A6800"/>
    <w:rsid w:val="009A6CC5"/>
    <w:rsid w:val="009A75E2"/>
    <w:rsid w:val="009A7855"/>
    <w:rsid w:val="009A7CC7"/>
    <w:rsid w:val="009A7F4F"/>
    <w:rsid w:val="009B09B2"/>
    <w:rsid w:val="009B1AB1"/>
    <w:rsid w:val="009B1B48"/>
    <w:rsid w:val="009B2217"/>
    <w:rsid w:val="009B4364"/>
    <w:rsid w:val="009B48DD"/>
    <w:rsid w:val="009B4B33"/>
    <w:rsid w:val="009B4E37"/>
    <w:rsid w:val="009B4E8D"/>
    <w:rsid w:val="009B5F61"/>
    <w:rsid w:val="009B646E"/>
    <w:rsid w:val="009B68B5"/>
    <w:rsid w:val="009B6D39"/>
    <w:rsid w:val="009C016C"/>
    <w:rsid w:val="009C030D"/>
    <w:rsid w:val="009C0B06"/>
    <w:rsid w:val="009C0C0E"/>
    <w:rsid w:val="009C0EB8"/>
    <w:rsid w:val="009C10F4"/>
    <w:rsid w:val="009C120D"/>
    <w:rsid w:val="009C1659"/>
    <w:rsid w:val="009C166C"/>
    <w:rsid w:val="009C1AE9"/>
    <w:rsid w:val="009C1F3F"/>
    <w:rsid w:val="009C2142"/>
    <w:rsid w:val="009C34D0"/>
    <w:rsid w:val="009C3A63"/>
    <w:rsid w:val="009C3F2D"/>
    <w:rsid w:val="009C3F84"/>
    <w:rsid w:val="009C6386"/>
    <w:rsid w:val="009C6975"/>
    <w:rsid w:val="009C78DA"/>
    <w:rsid w:val="009D0BF8"/>
    <w:rsid w:val="009D10ED"/>
    <w:rsid w:val="009D175E"/>
    <w:rsid w:val="009D1B18"/>
    <w:rsid w:val="009D1EE4"/>
    <w:rsid w:val="009D2504"/>
    <w:rsid w:val="009D2CEB"/>
    <w:rsid w:val="009D319D"/>
    <w:rsid w:val="009D3258"/>
    <w:rsid w:val="009D35DE"/>
    <w:rsid w:val="009D3D15"/>
    <w:rsid w:val="009D4906"/>
    <w:rsid w:val="009D4BC8"/>
    <w:rsid w:val="009D523A"/>
    <w:rsid w:val="009D6A19"/>
    <w:rsid w:val="009D6CEC"/>
    <w:rsid w:val="009D6DA0"/>
    <w:rsid w:val="009D6F39"/>
    <w:rsid w:val="009D7273"/>
    <w:rsid w:val="009D7692"/>
    <w:rsid w:val="009D7DD5"/>
    <w:rsid w:val="009E00FB"/>
    <w:rsid w:val="009E0126"/>
    <w:rsid w:val="009E13BA"/>
    <w:rsid w:val="009E1613"/>
    <w:rsid w:val="009E1A84"/>
    <w:rsid w:val="009E1BF4"/>
    <w:rsid w:val="009E1F25"/>
    <w:rsid w:val="009E391B"/>
    <w:rsid w:val="009E3B41"/>
    <w:rsid w:val="009E404A"/>
    <w:rsid w:val="009E4728"/>
    <w:rsid w:val="009E4EEA"/>
    <w:rsid w:val="009E5076"/>
    <w:rsid w:val="009E52DC"/>
    <w:rsid w:val="009E63F8"/>
    <w:rsid w:val="009E7496"/>
    <w:rsid w:val="009E7A2E"/>
    <w:rsid w:val="009E7B0E"/>
    <w:rsid w:val="009F0DCA"/>
    <w:rsid w:val="009F2BD8"/>
    <w:rsid w:val="009F2C5D"/>
    <w:rsid w:val="009F3038"/>
    <w:rsid w:val="009F3C41"/>
    <w:rsid w:val="009F3E71"/>
    <w:rsid w:val="009F49D4"/>
    <w:rsid w:val="009F4E83"/>
    <w:rsid w:val="009F4EAB"/>
    <w:rsid w:val="009F5145"/>
    <w:rsid w:val="009F555F"/>
    <w:rsid w:val="009F5D65"/>
    <w:rsid w:val="009F5E68"/>
    <w:rsid w:val="009F672B"/>
    <w:rsid w:val="009F6882"/>
    <w:rsid w:val="009F6A66"/>
    <w:rsid w:val="009F6A6C"/>
    <w:rsid w:val="009F722F"/>
    <w:rsid w:val="009F7A50"/>
    <w:rsid w:val="009F7D92"/>
    <w:rsid w:val="009F7F81"/>
    <w:rsid w:val="00A00058"/>
    <w:rsid w:val="00A00E5F"/>
    <w:rsid w:val="00A01CEA"/>
    <w:rsid w:val="00A01E7F"/>
    <w:rsid w:val="00A01FAC"/>
    <w:rsid w:val="00A02A70"/>
    <w:rsid w:val="00A03096"/>
    <w:rsid w:val="00A033BE"/>
    <w:rsid w:val="00A038E4"/>
    <w:rsid w:val="00A04492"/>
    <w:rsid w:val="00A047E9"/>
    <w:rsid w:val="00A04C0B"/>
    <w:rsid w:val="00A052A3"/>
    <w:rsid w:val="00A05A8C"/>
    <w:rsid w:val="00A0674A"/>
    <w:rsid w:val="00A071D5"/>
    <w:rsid w:val="00A0752C"/>
    <w:rsid w:val="00A07567"/>
    <w:rsid w:val="00A10ABE"/>
    <w:rsid w:val="00A113E7"/>
    <w:rsid w:val="00A117DB"/>
    <w:rsid w:val="00A11A79"/>
    <w:rsid w:val="00A120D7"/>
    <w:rsid w:val="00A1214F"/>
    <w:rsid w:val="00A13217"/>
    <w:rsid w:val="00A13A7E"/>
    <w:rsid w:val="00A13B0F"/>
    <w:rsid w:val="00A16564"/>
    <w:rsid w:val="00A1709A"/>
    <w:rsid w:val="00A17786"/>
    <w:rsid w:val="00A17965"/>
    <w:rsid w:val="00A17D8C"/>
    <w:rsid w:val="00A204DD"/>
    <w:rsid w:val="00A20658"/>
    <w:rsid w:val="00A20BD8"/>
    <w:rsid w:val="00A211F8"/>
    <w:rsid w:val="00A214A6"/>
    <w:rsid w:val="00A217CA"/>
    <w:rsid w:val="00A21EF7"/>
    <w:rsid w:val="00A22CB2"/>
    <w:rsid w:val="00A2341E"/>
    <w:rsid w:val="00A23E2C"/>
    <w:rsid w:val="00A2460F"/>
    <w:rsid w:val="00A24AD8"/>
    <w:rsid w:val="00A25533"/>
    <w:rsid w:val="00A25741"/>
    <w:rsid w:val="00A25A4F"/>
    <w:rsid w:val="00A25DD5"/>
    <w:rsid w:val="00A26B93"/>
    <w:rsid w:val="00A2752D"/>
    <w:rsid w:val="00A318E9"/>
    <w:rsid w:val="00A31EFA"/>
    <w:rsid w:val="00A324D8"/>
    <w:rsid w:val="00A333D3"/>
    <w:rsid w:val="00A336FF"/>
    <w:rsid w:val="00A33D3C"/>
    <w:rsid w:val="00A33D9B"/>
    <w:rsid w:val="00A350E4"/>
    <w:rsid w:val="00A35395"/>
    <w:rsid w:val="00A35E11"/>
    <w:rsid w:val="00A35E7E"/>
    <w:rsid w:val="00A361BC"/>
    <w:rsid w:val="00A3708C"/>
    <w:rsid w:val="00A378DE"/>
    <w:rsid w:val="00A37C7A"/>
    <w:rsid w:val="00A402EA"/>
    <w:rsid w:val="00A40514"/>
    <w:rsid w:val="00A40A65"/>
    <w:rsid w:val="00A40CBA"/>
    <w:rsid w:val="00A40F41"/>
    <w:rsid w:val="00A413E0"/>
    <w:rsid w:val="00A4143D"/>
    <w:rsid w:val="00A417DE"/>
    <w:rsid w:val="00A41FB7"/>
    <w:rsid w:val="00A4210B"/>
    <w:rsid w:val="00A42359"/>
    <w:rsid w:val="00A4364A"/>
    <w:rsid w:val="00A43EAB"/>
    <w:rsid w:val="00A43FC0"/>
    <w:rsid w:val="00A44373"/>
    <w:rsid w:val="00A4474A"/>
    <w:rsid w:val="00A4628E"/>
    <w:rsid w:val="00A5036A"/>
    <w:rsid w:val="00A505BA"/>
    <w:rsid w:val="00A50EBD"/>
    <w:rsid w:val="00A50F8C"/>
    <w:rsid w:val="00A51228"/>
    <w:rsid w:val="00A51CF7"/>
    <w:rsid w:val="00A51F39"/>
    <w:rsid w:val="00A52FE4"/>
    <w:rsid w:val="00A53253"/>
    <w:rsid w:val="00A53350"/>
    <w:rsid w:val="00A53DD3"/>
    <w:rsid w:val="00A5409C"/>
    <w:rsid w:val="00A542BD"/>
    <w:rsid w:val="00A5442C"/>
    <w:rsid w:val="00A54D74"/>
    <w:rsid w:val="00A5550B"/>
    <w:rsid w:val="00A5562F"/>
    <w:rsid w:val="00A55737"/>
    <w:rsid w:val="00A55CC7"/>
    <w:rsid w:val="00A55DDB"/>
    <w:rsid w:val="00A55DDD"/>
    <w:rsid w:val="00A56553"/>
    <w:rsid w:val="00A569DD"/>
    <w:rsid w:val="00A56F8F"/>
    <w:rsid w:val="00A579EC"/>
    <w:rsid w:val="00A57F8D"/>
    <w:rsid w:val="00A60623"/>
    <w:rsid w:val="00A60835"/>
    <w:rsid w:val="00A6086C"/>
    <w:rsid w:val="00A60CBF"/>
    <w:rsid w:val="00A614BB"/>
    <w:rsid w:val="00A616FA"/>
    <w:rsid w:val="00A61C49"/>
    <w:rsid w:val="00A61D80"/>
    <w:rsid w:val="00A62D93"/>
    <w:rsid w:val="00A637A1"/>
    <w:rsid w:val="00A63810"/>
    <w:rsid w:val="00A64B3C"/>
    <w:rsid w:val="00A65561"/>
    <w:rsid w:val="00A65C41"/>
    <w:rsid w:val="00A65EEC"/>
    <w:rsid w:val="00A666F2"/>
    <w:rsid w:val="00A66C3A"/>
    <w:rsid w:val="00A671BE"/>
    <w:rsid w:val="00A67BFE"/>
    <w:rsid w:val="00A67F77"/>
    <w:rsid w:val="00A70148"/>
    <w:rsid w:val="00A702E2"/>
    <w:rsid w:val="00A70632"/>
    <w:rsid w:val="00A707DD"/>
    <w:rsid w:val="00A70A1D"/>
    <w:rsid w:val="00A7142B"/>
    <w:rsid w:val="00A72229"/>
    <w:rsid w:val="00A722B0"/>
    <w:rsid w:val="00A72B6B"/>
    <w:rsid w:val="00A72FC9"/>
    <w:rsid w:val="00A73146"/>
    <w:rsid w:val="00A73BC3"/>
    <w:rsid w:val="00A73F4F"/>
    <w:rsid w:val="00A74234"/>
    <w:rsid w:val="00A74299"/>
    <w:rsid w:val="00A74816"/>
    <w:rsid w:val="00A74E4A"/>
    <w:rsid w:val="00A75862"/>
    <w:rsid w:val="00A75BB4"/>
    <w:rsid w:val="00A75BC0"/>
    <w:rsid w:val="00A75EC2"/>
    <w:rsid w:val="00A7647B"/>
    <w:rsid w:val="00A76BAC"/>
    <w:rsid w:val="00A76C0D"/>
    <w:rsid w:val="00A771A4"/>
    <w:rsid w:val="00A77366"/>
    <w:rsid w:val="00A77B00"/>
    <w:rsid w:val="00A77BD4"/>
    <w:rsid w:val="00A80AE1"/>
    <w:rsid w:val="00A80CD8"/>
    <w:rsid w:val="00A817AE"/>
    <w:rsid w:val="00A83B53"/>
    <w:rsid w:val="00A8556A"/>
    <w:rsid w:val="00A855B7"/>
    <w:rsid w:val="00A86126"/>
    <w:rsid w:val="00A866B0"/>
    <w:rsid w:val="00A8696E"/>
    <w:rsid w:val="00A871C8"/>
    <w:rsid w:val="00A87394"/>
    <w:rsid w:val="00A87663"/>
    <w:rsid w:val="00A8770C"/>
    <w:rsid w:val="00A87B31"/>
    <w:rsid w:val="00A909F3"/>
    <w:rsid w:val="00A91511"/>
    <w:rsid w:val="00A927F9"/>
    <w:rsid w:val="00A92B9C"/>
    <w:rsid w:val="00A93466"/>
    <w:rsid w:val="00A936AC"/>
    <w:rsid w:val="00A944B2"/>
    <w:rsid w:val="00A95740"/>
    <w:rsid w:val="00A960F2"/>
    <w:rsid w:val="00A9618B"/>
    <w:rsid w:val="00A961DA"/>
    <w:rsid w:val="00A96872"/>
    <w:rsid w:val="00A96EE6"/>
    <w:rsid w:val="00A97771"/>
    <w:rsid w:val="00A97B11"/>
    <w:rsid w:val="00A97E64"/>
    <w:rsid w:val="00AA00E0"/>
    <w:rsid w:val="00AA040E"/>
    <w:rsid w:val="00AA0BAC"/>
    <w:rsid w:val="00AA278C"/>
    <w:rsid w:val="00AA2885"/>
    <w:rsid w:val="00AA3AD1"/>
    <w:rsid w:val="00AA3B59"/>
    <w:rsid w:val="00AA3F38"/>
    <w:rsid w:val="00AA4B17"/>
    <w:rsid w:val="00AA522C"/>
    <w:rsid w:val="00AA5463"/>
    <w:rsid w:val="00AA5E58"/>
    <w:rsid w:val="00AA6038"/>
    <w:rsid w:val="00AA605F"/>
    <w:rsid w:val="00AA682F"/>
    <w:rsid w:val="00AA6AE3"/>
    <w:rsid w:val="00AA727D"/>
    <w:rsid w:val="00AA7766"/>
    <w:rsid w:val="00AB0175"/>
    <w:rsid w:val="00AB0271"/>
    <w:rsid w:val="00AB13A4"/>
    <w:rsid w:val="00AB16CD"/>
    <w:rsid w:val="00AB1FD2"/>
    <w:rsid w:val="00AB22C0"/>
    <w:rsid w:val="00AB239C"/>
    <w:rsid w:val="00AB23E2"/>
    <w:rsid w:val="00AB26A3"/>
    <w:rsid w:val="00AB2C23"/>
    <w:rsid w:val="00AB4BF2"/>
    <w:rsid w:val="00AB4F36"/>
    <w:rsid w:val="00AB73AE"/>
    <w:rsid w:val="00AB7646"/>
    <w:rsid w:val="00AB7B93"/>
    <w:rsid w:val="00AB7D2F"/>
    <w:rsid w:val="00AC015D"/>
    <w:rsid w:val="00AC02A5"/>
    <w:rsid w:val="00AC07D6"/>
    <w:rsid w:val="00AC0829"/>
    <w:rsid w:val="00AC1537"/>
    <w:rsid w:val="00AC1D02"/>
    <w:rsid w:val="00AC2C82"/>
    <w:rsid w:val="00AC3737"/>
    <w:rsid w:val="00AC3B0A"/>
    <w:rsid w:val="00AC4092"/>
    <w:rsid w:val="00AC416E"/>
    <w:rsid w:val="00AC4269"/>
    <w:rsid w:val="00AC436F"/>
    <w:rsid w:val="00AC4DA5"/>
    <w:rsid w:val="00AC4DDB"/>
    <w:rsid w:val="00AC555E"/>
    <w:rsid w:val="00AC56CD"/>
    <w:rsid w:val="00AC57D1"/>
    <w:rsid w:val="00AC6069"/>
    <w:rsid w:val="00AC6206"/>
    <w:rsid w:val="00AC6542"/>
    <w:rsid w:val="00AC68DB"/>
    <w:rsid w:val="00AC6FA8"/>
    <w:rsid w:val="00AC723B"/>
    <w:rsid w:val="00AC7292"/>
    <w:rsid w:val="00AC7939"/>
    <w:rsid w:val="00AC7C03"/>
    <w:rsid w:val="00AD10CC"/>
    <w:rsid w:val="00AD21E8"/>
    <w:rsid w:val="00AD2258"/>
    <w:rsid w:val="00AD3940"/>
    <w:rsid w:val="00AD3B2C"/>
    <w:rsid w:val="00AD3C0F"/>
    <w:rsid w:val="00AD48F7"/>
    <w:rsid w:val="00AD52D3"/>
    <w:rsid w:val="00AD5686"/>
    <w:rsid w:val="00AD5E61"/>
    <w:rsid w:val="00AD71B8"/>
    <w:rsid w:val="00AD765E"/>
    <w:rsid w:val="00AD7B7B"/>
    <w:rsid w:val="00AE0126"/>
    <w:rsid w:val="00AE0EB7"/>
    <w:rsid w:val="00AE1D97"/>
    <w:rsid w:val="00AE25CF"/>
    <w:rsid w:val="00AE26F1"/>
    <w:rsid w:val="00AE33AB"/>
    <w:rsid w:val="00AE45F2"/>
    <w:rsid w:val="00AE4AD4"/>
    <w:rsid w:val="00AE4D55"/>
    <w:rsid w:val="00AE5193"/>
    <w:rsid w:val="00AE57FB"/>
    <w:rsid w:val="00AE5AD7"/>
    <w:rsid w:val="00AE6C02"/>
    <w:rsid w:val="00AE6CF7"/>
    <w:rsid w:val="00AE6CFD"/>
    <w:rsid w:val="00AE6D05"/>
    <w:rsid w:val="00AE6DDD"/>
    <w:rsid w:val="00AF0280"/>
    <w:rsid w:val="00AF0DBB"/>
    <w:rsid w:val="00AF1EC7"/>
    <w:rsid w:val="00AF2496"/>
    <w:rsid w:val="00AF2708"/>
    <w:rsid w:val="00AF35BA"/>
    <w:rsid w:val="00AF4511"/>
    <w:rsid w:val="00AF4590"/>
    <w:rsid w:val="00AF4840"/>
    <w:rsid w:val="00AF48D6"/>
    <w:rsid w:val="00AF4ACC"/>
    <w:rsid w:val="00AF4E3F"/>
    <w:rsid w:val="00AF4EDA"/>
    <w:rsid w:val="00AF5556"/>
    <w:rsid w:val="00AF56E7"/>
    <w:rsid w:val="00AF5859"/>
    <w:rsid w:val="00AF5AC1"/>
    <w:rsid w:val="00AF61B3"/>
    <w:rsid w:val="00AF662F"/>
    <w:rsid w:val="00AF6924"/>
    <w:rsid w:val="00AF6AA4"/>
    <w:rsid w:val="00AF6D28"/>
    <w:rsid w:val="00AF700E"/>
    <w:rsid w:val="00AF7987"/>
    <w:rsid w:val="00B01227"/>
    <w:rsid w:val="00B01B09"/>
    <w:rsid w:val="00B021D6"/>
    <w:rsid w:val="00B02738"/>
    <w:rsid w:val="00B029FC"/>
    <w:rsid w:val="00B02A0F"/>
    <w:rsid w:val="00B03817"/>
    <w:rsid w:val="00B03BAE"/>
    <w:rsid w:val="00B03C6F"/>
    <w:rsid w:val="00B04653"/>
    <w:rsid w:val="00B04F0A"/>
    <w:rsid w:val="00B05842"/>
    <w:rsid w:val="00B05B3A"/>
    <w:rsid w:val="00B067AF"/>
    <w:rsid w:val="00B0739A"/>
    <w:rsid w:val="00B07B4A"/>
    <w:rsid w:val="00B102AA"/>
    <w:rsid w:val="00B102CF"/>
    <w:rsid w:val="00B10EC5"/>
    <w:rsid w:val="00B11EB0"/>
    <w:rsid w:val="00B12949"/>
    <w:rsid w:val="00B12A0B"/>
    <w:rsid w:val="00B12F32"/>
    <w:rsid w:val="00B132E3"/>
    <w:rsid w:val="00B13595"/>
    <w:rsid w:val="00B13851"/>
    <w:rsid w:val="00B1572C"/>
    <w:rsid w:val="00B1578B"/>
    <w:rsid w:val="00B1591E"/>
    <w:rsid w:val="00B159D2"/>
    <w:rsid w:val="00B15E3D"/>
    <w:rsid w:val="00B1696D"/>
    <w:rsid w:val="00B1717E"/>
    <w:rsid w:val="00B17484"/>
    <w:rsid w:val="00B176DB"/>
    <w:rsid w:val="00B17AE4"/>
    <w:rsid w:val="00B17D9B"/>
    <w:rsid w:val="00B20449"/>
    <w:rsid w:val="00B2080B"/>
    <w:rsid w:val="00B20D16"/>
    <w:rsid w:val="00B20E8D"/>
    <w:rsid w:val="00B21A33"/>
    <w:rsid w:val="00B21E12"/>
    <w:rsid w:val="00B220C7"/>
    <w:rsid w:val="00B22778"/>
    <w:rsid w:val="00B22FEE"/>
    <w:rsid w:val="00B23586"/>
    <w:rsid w:val="00B235F9"/>
    <w:rsid w:val="00B23998"/>
    <w:rsid w:val="00B2400E"/>
    <w:rsid w:val="00B2405C"/>
    <w:rsid w:val="00B24120"/>
    <w:rsid w:val="00B24628"/>
    <w:rsid w:val="00B2493A"/>
    <w:rsid w:val="00B25062"/>
    <w:rsid w:val="00B258A2"/>
    <w:rsid w:val="00B25AEC"/>
    <w:rsid w:val="00B26491"/>
    <w:rsid w:val="00B26E63"/>
    <w:rsid w:val="00B2755C"/>
    <w:rsid w:val="00B27E53"/>
    <w:rsid w:val="00B30907"/>
    <w:rsid w:val="00B30D1B"/>
    <w:rsid w:val="00B31484"/>
    <w:rsid w:val="00B31A57"/>
    <w:rsid w:val="00B32B1C"/>
    <w:rsid w:val="00B334A6"/>
    <w:rsid w:val="00B340D7"/>
    <w:rsid w:val="00B34191"/>
    <w:rsid w:val="00B34794"/>
    <w:rsid w:val="00B34C8B"/>
    <w:rsid w:val="00B3556B"/>
    <w:rsid w:val="00B36817"/>
    <w:rsid w:val="00B37936"/>
    <w:rsid w:val="00B37BA1"/>
    <w:rsid w:val="00B37F3B"/>
    <w:rsid w:val="00B40850"/>
    <w:rsid w:val="00B408A8"/>
    <w:rsid w:val="00B4098E"/>
    <w:rsid w:val="00B4106D"/>
    <w:rsid w:val="00B41C35"/>
    <w:rsid w:val="00B425F5"/>
    <w:rsid w:val="00B4262C"/>
    <w:rsid w:val="00B42870"/>
    <w:rsid w:val="00B4470A"/>
    <w:rsid w:val="00B448E9"/>
    <w:rsid w:val="00B4547F"/>
    <w:rsid w:val="00B45638"/>
    <w:rsid w:val="00B45A97"/>
    <w:rsid w:val="00B465D6"/>
    <w:rsid w:val="00B5033A"/>
    <w:rsid w:val="00B51222"/>
    <w:rsid w:val="00B51FDC"/>
    <w:rsid w:val="00B53870"/>
    <w:rsid w:val="00B53A3A"/>
    <w:rsid w:val="00B54285"/>
    <w:rsid w:val="00B55111"/>
    <w:rsid w:val="00B55F02"/>
    <w:rsid w:val="00B566A1"/>
    <w:rsid w:val="00B609B0"/>
    <w:rsid w:val="00B60B0A"/>
    <w:rsid w:val="00B612C8"/>
    <w:rsid w:val="00B6149B"/>
    <w:rsid w:val="00B6173F"/>
    <w:rsid w:val="00B61CAF"/>
    <w:rsid w:val="00B62E39"/>
    <w:rsid w:val="00B63321"/>
    <w:rsid w:val="00B64746"/>
    <w:rsid w:val="00B6487B"/>
    <w:rsid w:val="00B64C76"/>
    <w:rsid w:val="00B65BA9"/>
    <w:rsid w:val="00B664D3"/>
    <w:rsid w:val="00B66975"/>
    <w:rsid w:val="00B6777B"/>
    <w:rsid w:val="00B678A2"/>
    <w:rsid w:val="00B678A5"/>
    <w:rsid w:val="00B70618"/>
    <w:rsid w:val="00B70945"/>
    <w:rsid w:val="00B709E1"/>
    <w:rsid w:val="00B70D96"/>
    <w:rsid w:val="00B72ABD"/>
    <w:rsid w:val="00B74F9F"/>
    <w:rsid w:val="00B75658"/>
    <w:rsid w:val="00B759E5"/>
    <w:rsid w:val="00B7606D"/>
    <w:rsid w:val="00B7649A"/>
    <w:rsid w:val="00B7682D"/>
    <w:rsid w:val="00B768C5"/>
    <w:rsid w:val="00B769A8"/>
    <w:rsid w:val="00B775C2"/>
    <w:rsid w:val="00B77980"/>
    <w:rsid w:val="00B77DAD"/>
    <w:rsid w:val="00B802DF"/>
    <w:rsid w:val="00B807FF"/>
    <w:rsid w:val="00B809F7"/>
    <w:rsid w:val="00B810AD"/>
    <w:rsid w:val="00B8123B"/>
    <w:rsid w:val="00B81DCF"/>
    <w:rsid w:val="00B84842"/>
    <w:rsid w:val="00B85413"/>
    <w:rsid w:val="00B86E2E"/>
    <w:rsid w:val="00B87968"/>
    <w:rsid w:val="00B87B29"/>
    <w:rsid w:val="00B87DE7"/>
    <w:rsid w:val="00B903F6"/>
    <w:rsid w:val="00B911BE"/>
    <w:rsid w:val="00B91BDC"/>
    <w:rsid w:val="00B91D41"/>
    <w:rsid w:val="00B92DCA"/>
    <w:rsid w:val="00B9379A"/>
    <w:rsid w:val="00B943E6"/>
    <w:rsid w:val="00B9479F"/>
    <w:rsid w:val="00B95EC4"/>
    <w:rsid w:val="00B9635E"/>
    <w:rsid w:val="00B969D1"/>
    <w:rsid w:val="00B96F6C"/>
    <w:rsid w:val="00B9746E"/>
    <w:rsid w:val="00B979F9"/>
    <w:rsid w:val="00B97E35"/>
    <w:rsid w:val="00BA0874"/>
    <w:rsid w:val="00BA0B0A"/>
    <w:rsid w:val="00BA227A"/>
    <w:rsid w:val="00BA22F1"/>
    <w:rsid w:val="00BA29E3"/>
    <w:rsid w:val="00BA3250"/>
    <w:rsid w:val="00BA3613"/>
    <w:rsid w:val="00BA424E"/>
    <w:rsid w:val="00BA4E26"/>
    <w:rsid w:val="00BA600A"/>
    <w:rsid w:val="00BA6076"/>
    <w:rsid w:val="00BA645F"/>
    <w:rsid w:val="00BA67A3"/>
    <w:rsid w:val="00BA79E4"/>
    <w:rsid w:val="00BB05CB"/>
    <w:rsid w:val="00BB0D3B"/>
    <w:rsid w:val="00BB0E05"/>
    <w:rsid w:val="00BB2798"/>
    <w:rsid w:val="00BB2D6C"/>
    <w:rsid w:val="00BB2FAC"/>
    <w:rsid w:val="00BB3D5F"/>
    <w:rsid w:val="00BB3FFE"/>
    <w:rsid w:val="00BB400C"/>
    <w:rsid w:val="00BB47B5"/>
    <w:rsid w:val="00BB4BE0"/>
    <w:rsid w:val="00BB57AA"/>
    <w:rsid w:val="00BB6587"/>
    <w:rsid w:val="00BB69EA"/>
    <w:rsid w:val="00BB77A7"/>
    <w:rsid w:val="00BB7B80"/>
    <w:rsid w:val="00BB7CF2"/>
    <w:rsid w:val="00BC08A4"/>
    <w:rsid w:val="00BC18FA"/>
    <w:rsid w:val="00BC1BE2"/>
    <w:rsid w:val="00BC4154"/>
    <w:rsid w:val="00BC4823"/>
    <w:rsid w:val="00BC5379"/>
    <w:rsid w:val="00BC56D8"/>
    <w:rsid w:val="00BC58B7"/>
    <w:rsid w:val="00BC5CE8"/>
    <w:rsid w:val="00BD0CE9"/>
    <w:rsid w:val="00BD0E1B"/>
    <w:rsid w:val="00BD0EB4"/>
    <w:rsid w:val="00BD1457"/>
    <w:rsid w:val="00BD1680"/>
    <w:rsid w:val="00BD32A8"/>
    <w:rsid w:val="00BD4547"/>
    <w:rsid w:val="00BD4DB7"/>
    <w:rsid w:val="00BD4DD8"/>
    <w:rsid w:val="00BD579D"/>
    <w:rsid w:val="00BD5836"/>
    <w:rsid w:val="00BD6DED"/>
    <w:rsid w:val="00BD70D5"/>
    <w:rsid w:val="00BD7305"/>
    <w:rsid w:val="00BD73DB"/>
    <w:rsid w:val="00BD76A6"/>
    <w:rsid w:val="00BD7C63"/>
    <w:rsid w:val="00BD7E98"/>
    <w:rsid w:val="00BD7EBF"/>
    <w:rsid w:val="00BE0CDB"/>
    <w:rsid w:val="00BE0F52"/>
    <w:rsid w:val="00BE168F"/>
    <w:rsid w:val="00BE1744"/>
    <w:rsid w:val="00BE1B13"/>
    <w:rsid w:val="00BE2085"/>
    <w:rsid w:val="00BE2408"/>
    <w:rsid w:val="00BE2424"/>
    <w:rsid w:val="00BE3205"/>
    <w:rsid w:val="00BE352A"/>
    <w:rsid w:val="00BE3E77"/>
    <w:rsid w:val="00BE44C7"/>
    <w:rsid w:val="00BE4AD1"/>
    <w:rsid w:val="00BE4F26"/>
    <w:rsid w:val="00BE59E2"/>
    <w:rsid w:val="00BE5D71"/>
    <w:rsid w:val="00BE6416"/>
    <w:rsid w:val="00BE6973"/>
    <w:rsid w:val="00BF003F"/>
    <w:rsid w:val="00BF06BA"/>
    <w:rsid w:val="00BF06D3"/>
    <w:rsid w:val="00BF0BA6"/>
    <w:rsid w:val="00BF3042"/>
    <w:rsid w:val="00BF3531"/>
    <w:rsid w:val="00BF3ACC"/>
    <w:rsid w:val="00BF4504"/>
    <w:rsid w:val="00BF4785"/>
    <w:rsid w:val="00BF5018"/>
    <w:rsid w:val="00BF5B48"/>
    <w:rsid w:val="00BF6896"/>
    <w:rsid w:val="00BF69AD"/>
    <w:rsid w:val="00BF6B47"/>
    <w:rsid w:val="00BF6ED0"/>
    <w:rsid w:val="00BF7BE1"/>
    <w:rsid w:val="00C0045D"/>
    <w:rsid w:val="00C00B3E"/>
    <w:rsid w:val="00C018E4"/>
    <w:rsid w:val="00C01ECA"/>
    <w:rsid w:val="00C02690"/>
    <w:rsid w:val="00C02718"/>
    <w:rsid w:val="00C027B5"/>
    <w:rsid w:val="00C0351A"/>
    <w:rsid w:val="00C0393D"/>
    <w:rsid w:val="00C04044"/>
    <w:rsid w:val="00C04423"/>
    <w:rsid w:val="00C046CC"/>
    <w:rsid w:val="00C047CC"/>
    <w:rsid w:val="00C04A7E"/>
    <w:rsid w:val="00C04F39"/>
    <w:rsid w:val="00C0511D"/>
    <w:rsid w:val="00C053D0"/>
    <w:rsid w:val="00C0604D"/>
    <w:rsid w:val="00C06334"/>
    <w:rsid w:val="00C066D6"/>
    <w:rsid w:val="00C073AB"/>
    <w:rsid w:val="00C07A1C"/>
    <w:rsid w:val="00C07F18"/>
    <w:rsid w:val="00C10421"/>
    <w:rsid w:val="00C1073A"/>
    <w:rsid w:val="00C10B46"/>
    <w:rsid w:val="00C10CA7"/>
    <w:rsid w:val="00C1157A"/>
    <w:rsid w:val="00C11882"/>
    <w:rsid w:val="00C11E5B"/>
    <w:rsid w:val="00C12E28"/>
    <w:rsid w:val="00C13497"/>
    <w:rsid w:val="00C138D0"/>
    <w:rsid w:val="00C13C4B"/>
    <w:rsid w:val="00C14AF3"/>
    <w:rsid w:val="00C15210"/>
    <w:rsid w:val="00C155B5"/>
    <w:rsid w:val="00C16B4B"/>
    <w:rsid w:val="00C17404"/>
    <w:rsid w:val="00C175A7"/>
    <w:rsid w:val="00C20797"/>
    <w:rsid w:val="00C20CCD"/>
    <w:rsid w:val="00C21625"/>
    <w:rsid w:val="00C216CA"/>
    <w:rsid w:val="00C21B57"/>
    <w:rsid w:val="00C21B62"/>
    <w:rsid w:val="00C22019"/>
    <w:rsid w:val="00C220AC"/>
    <w:rsid w:val="00C222DA"/>
    <w:rsid w:val="00C22B07"/>
    <w:rsid w:val="00C23518"/>
    <w:rsid w:val="00C23B27"/>
    <w:rsid w:val="00C23CEB"/>
    <w:rsid w:val="00C23DF1"/>
    <w:rsid w:val="00C26883"/>
    <w:rsid w:val="00C26A07"/>
    <w:rsid w:val="00C26FAF"/>
    <w:rsid w:val="00C27097"/>
    <w:rsid w:val="00C273D1"/>
    <w:rsid w:val="00C30E1A"/>
    <w:rsid w:val="00C32147"/>
    <w:rsid w:val="00C330DE"/>
    <w:rsid w:val="00C33B96"/>
    <w:rsid w:val="00C33C3C"/>
    <w:rsid w:val="00C33E6C"/>
    <w:rsid w:val="00C357E7"/>
    <w:rsid w:val="00C35A1C"/>
    <w:rsid w:val="00C35E58"/>
    <w:rsid w:val="00C36437"/>
    <w:rsid w:val="00C36A66"/>
    <w:rsid w:val="00C36B23"/>
    <w:rsid w:val="00C36E1A"/>
    <w:rsid w:val="00C3703F"/>
    <w:rsid w:val="00C37A6D"/>
    <w:rsid w:val="00C37C16"/>
    <w:rsid w:val="00C37F75"/>
    <w:rsid w:val="00C401E7"/>
    <w:rsid w:val="00C411C1"/>
    <w:rsid w:val="00C4174B"/>
    <w:rsid w:val="00C41858"/>
    <w:rsid w:val="00C418CD"/>
    <w:rsid w:val="00C424D0"/>
    <w:rsid w:val="00C426E9"/>
    <w:rsid w:val="00C4275B"/>
    <w:rsid w:val="00C42AD4"/>
    <w:rsid w:val="00C43A51"/>
    <w:rsid w:val="00C44B65"/>
    <w:rsid w:val="00C44FD3"/>
    <w:rsid w:val="00C45C7F"/>
    <w:rsid w:val="00C46327"/>
    <w:rsid w:val="00C463D0"/>
    <w:rsid w:val="00C465C4"/>
    <w:rsid w:val="00C46EAD"/>
    <w:rsid w:val="00C50B52"/>
    <w:rsid w:val="00C53774"/>
    <w:rsid w:val="00C54A68"/>
    <w:rsid w:val="00C54C02"/>
    <w:rsid w:val="00C55D15"/>
    <w:rsid w:val="00C56459"/>
    <w:rsid w:val="00C5691A"/>
    <w:rsid w:val="00C572CD"/>
    <w:rsid w:val="00C57339"/>
    <w:rsid w:val="00C574D6"/>
    <w:rsid w:val="00C57616"/>
    <w:rsid w:val="00C57743"/>
    <w:rsid w:val="00C577A0"/>
    <w:rsid w:val="00C57A50"/>
    <w:rsid w:val="00C60233"/>
    <w:rsid w:val="00C60B36"/>
    <w:rsid w:val="00C61A87"/>
    <w:rsid w:val="00C63CF0"/>
    <w:rsid w:val="00C645C0"/>
    <w:rsid w:val="00C64682"/>
    <w:rsid w:val="00C6558F"/>
    <w:rsid w:val="00C6590F"/>
    <w:rsid w:val="00C65BD0"/>
    <w:rsid w:val="00C65E33"/>
    <w:rsid w:val="00C660F2"/>
    <w:rsid w:val="00C66D04"/>
    <w:rsid w:val="00C6716F"/>
    <w:rsid w:val="00C67CC7"/>
    <w:rsid w:val="00C70F89"/>
    <w:rsid w:val="00C7198C"/>
    <w:rsid w:val="00C728DF"/>
    <w:rsid w:val="00C72B4B"/>
    <w:rsid w:val="00C72E79"/>
    <w:rsid w:val="00C72F8B"/>
    <w:rsid w:val="00C735C2"/>
    <w:rsid w:val="00C74127"/>
    <w:rsid w:val="00C74387"/>
    <w:rsid w:val="00C75357"/>
    <w:rsid w:val="00C76C9F"/>
    <w:rsid w:val="00C76FB3"/>
    <w:rsid w:val="00C76FE6"/>
    <w:rsid w:val="00C7761A"/>
    <w:rsid w:val="00C776BE"/>
    <w:rsid w:val="00C77B5D"/>
    <w:rsid w:val="00C77CB1"/>
    <w:rsid w:val="00C802B5"/>
    <w:rsid w:val="00C81A96"/>
    <w:rsid w:val="00C81C29"/>
    <w:rsid w:val="00C820AC"/>
    <w:rsid w:val="00C8243A"/>
    <w:rsid w:val="00C841F4"/>
    <w:rsid w:val="00C849A5"/>
    <w:rsid w:val="00C84B98"/>
    <w:rsid w:val="00C84C8A"/>
    <w:rsid w:val="00C84EA6"/>
    <w:rsid w:val="00C84FC1"/>
    <w:rsid w:val="00C8713B"/>
    <w:rsid w:val="00C87F76"/>
    <w:rsid w:val="00C90015"/>
    <w:rsid w:val="00C91137"/>
    <w:rsid w:val="00C919E4"/>
    <w:rsid w:val="00C92010"/>
    <w:rsid w:val="00C9223A"/>
    <w:rsid w:val="00C92379"/>
    <w:rsid w:val="00C92957"/>
    <w:rsid w:val="00C92AE8"/>
    <w:rsid w:val="00C93172"/>
    <w:rsid w:val="00C93441"/>
    <w:rsid w:val="00C93A95"/>
    <w:rsid w:val="00C93BE9"/>
    <w:rsid w:val="00C93DB7"/>
    <w:rsid w:val="00C94A85"/>
    <w:rsid w:val="00C94ED3"/>
    <w:rsid w:val="00C95F0B"/>
    <w:rsid w:val="00C96DD2"/>
    <w:rsid w:val="00CA00B5"/>
    <w:rsid w:val="00CA0220"/>
    <w:rsid w:val="00CA049C"/>
    <w:rsid w:val="00CA060E"/>
    <w:rsid w:val="00CA1697"/>
    <w:rsid w:val="00CA1984"/>
    <w:rsid w:val="00CA24C2"/>
    <w:rsid w:val="00CA2CCE"/>
    <w:rsid w:val="00CA3FF2"/>
    <w:rsid w:val="00CA4522"/>
    <w:rsid w:val="00CA4DDA"/>
    <w:rsid w:val="00CA4EEE"/>
    <w:rsid w:val="00CA4F5C"/>
    <w:rsid w:val="00CA5305"/>
    <w:rsid w:val="00CA578A"/>
    <w:rsid w:val="00CA5981"/>
    <w:rsid w:val="00CA5F3B"/>
    <w:rsid w:val="00CA70E1"/>
    <w:rsid w:val="00CA744B"/>
    <w:rsid w:val="00CA7D54"/>
    <w:rsid w:val="00CB0013"/>
    <w:rsid w:val="00CB0A43"/>
    <w:rsid w:val="00CB0DE7"/>
    <w:rsid w:val="00CB169B"/>
    <w:rsid w:val="00CB1FA7"/>
    <w:rsid w:val="00CB2057"/>
    <w:rsid w:val="00CB20A0"/>
    <w:rsid w:val="00CB22B5"/>
    <w:rsid w:val="00CB2419"/>
    <w:rsid w:val="00CB2811"/>
    <w:rsid w:val="00CB2D40"/>
    <w:rsid w:val="00CB2EF8"/>
    <w:rsid w:val="00CB3716"/>
    <w:rsid w:val="00CB3B2F"/>
    <w:rsid w:val="00CB3DA9"/>
    <w:rsid w:val="00CB3F7D"/>
    <w:rsid w:val="00CB4766"/>
    <w:rsid w:val="00CB4ED9"/>
    <w:rsid w:val="00CB53A2"/>
    <w:rsid w:val="00CB5410"/>
    <w:rsid w:val="00CB5D14"/>
    <w:rsid w:val="00CB64DC"/>
    <w:rsid w:val="00CB6952"/>
    <w:rsid w:val="00CB7FE9"/>
    <w:rsid w:val="00CC0417"/>
    <w:rsid w:val="00CC2F28"/>
    <w:rsid w:val="00CC347D"/>
    <w:rsid w:val="00CC3615"/>
    <w:rsid w:val="00CC3B82"/>
    <w:rsid w:val="00CC6521"/>
    <w:rsid w:val="00CC71EE"/>
    <w:rsid w:val="00CC757E"/>
    <w:rsid w:val="00CD012A"/>
    <w:rsid w:val="00CD06F9"/>
    <w:rsid w:val="00CD077C"/>
    <w:rsid w:val="00CD19B9"/>
    <w:rsid w:val="00CD2ACB"/>
    <w:rsid w:val="00CD2B58"/>
    <w:rsid w:val="00CD3600"/>
    <w:rsid w:val="00CD3BD3"/>
    <w:rsid w:val="00CD3D26"/>
    <w:rsid w:val="00CD4174"/>
    <w:rsid w:val="00CD4461"/>
    <w:rsid w:val="00CD49E6"/>
    <w:rsid w:val="00CD4F37"/>
    <w:rsid w:val="00CD5108"/>
    <w:rsid w:val="00CD5198"/>
    <w:rsid w:val="00CD523C"/>
    <w:rsid w:val="00CD52B2"/>
    <w:rsid w:val="00CD5D15"/>
    <w:rsid w:val="00CD6022"/>
    <w:rsid w:val="00CD6468"/>
    <w:rsid w:val="00CD70B3"/>
    <w:rsid w:val="00CD7154"/>
    <w:rsid w:val="00CD731A"/>
    <w:rsid w:val="00CD7722"/>
    <w:rsid w:val="00CE07E2"/>
    <w:rsid w:val="00CE085F"/>
    <w:rsid w:val="00CE0EDE"/>
    <w:rsid w:val="00CE1707"/>
    <w:rsid w:val="00CE190B"/>
    <w:rsid w:val="00CE1AB8"/>
    <w:rsid w:val="00CE1DB4"/>
    <w:rsid w:val="00CE1DBB"/>
    <w:rsid w:val="00CE3033"/>
    <w:rsid w:val="00CE38B4"/>
    <w:rsid w:val="00CE3B2B"/>
    <w:rsid w:val="00CE4956"/>
    <w:rsid w:val="00CE5201"/>
    <w:rsid w:val="00CE526B"/>
    <w:rsid w:val="00CE53F4"/>
    <w:rsid w:val="00CE57FC"/>
    <w:rsid w:val="00CE5A8B"/>
    <w:rsid w:val="00CE5CF9"/>
    <w:rsid w:val="00CE5FD7"/>
    <w:rsid w:val="00CE6044"/>
    <w:rsid w:val="00CE63D5"/>
    <w:rsid w:val="00CE7246"/>
    <w:rsid w:val="00CE7A3D"/>
    <w:rsid w:val="00CE7C49"/>
    <w:rsid w:val="00CE7FFC"/>
    <w:rsid w:val="00CF1559"/>
    <w:rsid w:val="00CF1E29"/>
    <w:rsid w:val="00CF1E4C"/>
    <w:rsid w:val="00CF250E"/>
    <w:rsid w:val="00CF3B52"/>
    <w:rsid w:val="00CF3E18"/>
    <w:rsid w:val="00CF415F"/>
    <w:rsid w:val="00CF4A6A"/>
    <w:rsid w:val="00CF57A4"/>
    <w:rsid w:val="00CF5DAA"/>
    <w:rsid w:val="00CF63CE"/>
    <w:rsid w:val="00CF705D"/>
    <w:rsid w:val="00CF7449"/>
    <w:rsid w:val="00D004EE"/>
    <w:rsid w:val="00D01837"/>
    <w:rsid w:val="00D01DF3"/>
    <w:rsid w:val="00D02BFD"/>
    <w:rsid w:val="00D03750"/>
    <w:rsid w:val="00D03A66"/>
    <w:rsid w:val="00D03D8D"/>
    <w:rsid w:val="00D04192"/>
    <w:rsid w:val="00D0461B"/>
    <w:rsid w:val="00D0619F"/>
    <w:rsid w:val="00D062F9"/>
    <w:rsid w:val="00D0770E"/>
    <w:rsid w:val="00D07C5E"/>
    <w:rsid w:val="00D1031D"/>
    <w:rsid w:val="00D12679"/>
    <w:rsid w:val="00D12A21"/>
    <w:rsid w:val="00D13B18"/>
    <w:rsid w:val="00D145CD"/>
    <w:rsid w:val="00D145F6"/>
    <w:rsid w:val="00D1479C"/>
    <w:rsid w:val="00D147FA"/>
    <w:rsid w:val="00D14A56"/>
    <w:rsid w:val="00D14C16"/>
    <w:rsid w:val="00D14D58"/>
    <w:rsid w:val="00D150CE"/>
    <w:rsid w:val="00D15AE6"/>
    <w:rsid w:val="00D1607E"/>
    <w:rsid w:val="00D16ABA"/>
    <w:rsid w:val="00D172D6"/>
    <w:rsid w:val="00D20172"/>
    <w:rsid w:val="00D2121C"/>
    <w:rsid w:val="00D21676"/>
    <w:rsid w:val="00D220B2"/>
    <w:rsid w:val="00D224B7"/>
    <w:rsid w:val="00D22D26"/>
    <w:rsid w:val="00D23077"/>
    <w:rsid w:val="00D234B4"/>
    <w:rsid w:val="00D235AE"/>
    <w:rsid w:val="00D23BBF"/>
    <w:rsid w:val="00D2424D"/>
    <w:rsid w:val="00D243A8"/>
    <w:rsid w:val="00D2476B"/>
    <w:rsid w:val="00D24AE1"/>
    <w:rsid w:val="00D25137"/>
    <w:rsid w:val="00D25245"/>
    <w:rsid w:val="00D2597F"/>
    <w:rsid w:val="00D25F46"/>
    <w:rsid w:val="00D26B6C"/>
    <w:rsid w:val="00D26D7D"/>
    <w:rsid w:val="00D27635"/>
    <w:rsid w:val="00D279FE"/>
    <w:rsid w:val="00D27A47"/>
    <w:rsid w:val="00D30EBA"/>
    <w:rsid w:val="00D319D7"/>
    <w:rsid w:val="00D31E4B"/>
    <w:rsid w:val="00D31F69"/>
    <w:rsid w:val="00D32168"/>
    <w:rsid w:val="00D326BD"/>
    <w:rsid w:val="00D32B1A"/>
    <w:rsid w:val="00D33204"/>
    <w:rsid w:val="00D333A0"/>
    <w:rsid w:val="00D34F8E"/>
    <w:rsid w:val="00D35035"/>
    <w:rsid w:val="00D353DD"/>
    <w:rsid w:val="00D3665E"/>
    <w:rsid w:val="00D36C07"/>
    <w:rsid w:val="00D36D6F"/>
    <w:rsid w:val="00D3716E"/>
    <w:rsid w:val="00D40122"/>
    <w:rsid w:val="00D40BDF"/>
    <w:rsid w:val="00D40C44"/>
    <w:rsid w:val="00D41178"/>
    <w:rsid w:val="00D414B6"/>
    <w:rsid w:val="00D41543"/>
    <w:rsid w:val="00D417E1"/>
    <w:rsid w:val="00D4194E"/>
    <w:rsid w:val="00D41B27"/>
    <w:rsid w:val="00D42058"/>
    <w:rsid w:val="00D4226B"/>
    <w:rsid w:val="00D4265E"/>
    <w:rsid w:val="00D42D9A"/>
    <w:rsid w:val="00D44582"/>
    <w:rsid w:val="00D4479F"/>
    <w:rsid w:val="00D44B59"/>
    <w:rsid w:val="00D4586E"/>
    <w:rsid w:val="00D465EA"/>
    <w:rsid w:val="00D4751D"/>
    <w:rsid w:val="00D475D1"/>
    <w:rsid w:val="00D50800"/>
    <w:rsid w:val="00D50E3E"/>
    <w:rsid w:val="00D518B0"/>
    <w:rsid w:val="00D51DC5"/>
    <w:rsid w:val="00D53636"/>
    <w:rsid w:val="00D53F90"/>
    <w:rsid w:val="00D54F9F"/>
    <w:rsid w:val="00D55595"/>
    <w:rsid w:val="00D5631C"/>
    <w:rsid w:val="00D56785"/>
    <w:rsid w:val="00D56CA6"/>
    <w:rsid w:val="00D573D2"/>
    <w:rsid w:val="00D57919"/>
    <w:rsid w:val="00D57CF8"/>
    <w:rsid w:val="00D6001E"/>
    <w:rsid w:val="00D60397"/>
    <w:rsid w:val="00D6071D"/>
    <w:rsid w:val="00D60BD8"/>
    <w:rsid w:val="00D61DE2"/>
    <w:rsid w:val="00D63E82"/>
    <w:rsid w:val="00D6401A"/>
    <w:rsid w:val="00D64496"/>
    <w:rsid w:val="00D6530C"/>
    <w:rsid w:val="00D65B46"/>
    <w:rsid w:val="00D65BA6"/>
    <w:rsid w:val="00D65F3A"/>
    <w:rsid w:val="00D65FC5"/>
    <w:rsid w:val="00D66580"/>
    <w:rsid w:val="00D670D9"/>
    <w:rsid w:val="00D675E9"/>
    <w:rsid w:val="00D67D89"/>
    <w:rsid w:val="00D67FED"/>
    <w:rsid w:val="00D70E2E"/>
    <w:rsid w:val="00D71155"/>
    <w:rsid w:val="00D715E1"/>
    <w:rsid w:val="00D71873"/>
    <w:rsid w:val="00D71EFF"/>
    <w:rsid w:val="00D726A6"/>
    <w:rsid w:val="00D72D98"/>
    <w:rsid w:val="00D72F14"/>
    <w:rsid w:val="00D742D8"/>
    <w:rsid w:val="00D7464D"/>
    <w:rsid w:val="00D74F81"/>
    <w:rsid w:val="00D7542B"/>
    <w:rsid w:val="00D75477"/>
    <w:rsid w:val="00D75AEB"/>
    <w:rsid w:val="00D75F9A"/>
    <w:rsid w:val="00D75FEF"/>
    <w:rsid w:val="00D764CC"/>
    <w:rsid w:val="00D76620"/>
    <w:rsid w:val="00D77760"/>
    <w:rsid w:val="00D80048"/>
    <w:rsid w:val="00D80D2A"/>
    <w:rsid w:val="00D81476"/>
    <w:rsid w:val="00D8287C"/>
    <w:rsid w:val="00D83857"/>
    <w:rsid w:val="00D8516A"/>
    <w:rsid w:val="00D856EB"/>
    <w:rsid w:val="00D86081"/>
    <w:rsid w:val="00D866FB"/>
    <w:rsid w:val="00D86FA3"/>
    <w:rsid w:val="00D87901"/>
    <w:rsid w:val="00D87B1E"/>
    <w:rsid w:val="00D87F6E"/>
    <w:rsid w:val="00D90404"/>
    <w:rsid w:val="00D90582"/>
    <w:rsid w:val="00D905EC"/>
    <w:rsid w:val="00D90A7E"/>
    <w:rsid w:val="00D90D09"/>
    <w:rsid w:val="00D91398"/>
    <w:rsid w:val="00D9153B"/>
    <w:rsid w:val="00D91760"/>
    <w:rsid w:val="00D928B5"/>
    <w:rsid w:val="00D9304A"/>
    <w:rsid w:val="00D9325F"/>
    <w:rsid w:val="00D9327C"/>
    <w:rsid w:val="00D9389A"/>
    <w:rsid w:val="00D93BB6"/>
    <w:rsid w:val="00D93C41"/>
    <w:rsid w:val="00D94EB8"/>
    <w:rsid w:val="00D957B5"/>
    <w:rsid w:val="00D95E6B"/>
    <w:rsid w:val="00D9636D"/>
    <w:rsid w:val="00D966B4"/>
    <w:rsid w:val="00D96A07"/>
    <w:rsid w:val="00D97B08"/>
    <w:rsid w:val="00DA049B"/>
    <w:rsid w:val="00DA08BE"/>
    <w:rsid w:val="00DA0D33"/>
    <w:rsid w:val="00DA1346"/>
    <w:rsid w:val="00DA1B0C"/>
    <w:rsid w:val="00DA1BAC"/>
    <w:rsid w:val="00DA2053"/>
    <w:rsid w:val="00DA23D6"/>
    <w:rsid w:val="00DA2DB8"/>
    <w:rsid w:val="00DA4AF4"/>
    <w:rsid w:val="00DA5923"/>
    <w:rsid w:val="00DA5E4D"/>
    <w:rsid w:val="00DA6C5C"/>
    <w:rsid w:val="00DA74F6"/>
    <w:rsid w:val="00DA78C1"/>
    <w:rsid w:val="00DA7D5B"/>
    <w:rsid w:val="00DB0461"/>
    <w:rsid w:val="00DB0845"/>
    <w:rsid w:val="00DB1F6F"/>
    <w:rsid w:val="00DB20FC"/>
    <w:rsid w:val="00DB250A"/>
    <w:rsid w:val="00DB2656"/>
    <w:rsid w:val="00DB2C9C"/>
    <w:rsid w:val="00DB484D"/>
    <w:rsid w:val="00DB484F"/>
    <w:rsid w:val="00DB5032"/>
    <w:rsid w:val="00DB50AC"/>
    <w:rsid w:val="00DB50E8"/>
    <w:rsid w:val="00DB5375"/>
    <w:rsid w:val="00DB554E"/>
    <w:rsid w:val="00DB575B"/>
    <w:rsid w:val="00DB5BA1"/>
    <w:rsid w:val="00DB62A7"/>
    <w:rsid w:val="00DB7A6D"/>
    <w:rsid w:val="00DB7A88"/>
    <w:rsid w:val="00DC01E5"/>
    <w:rsid w:val="00DC064A"/>
    <w:rsid w:val="00DC0FA2"/>
    <w:rsid w:val="00DC1AF1"/>
    <w:rsid w:val="00DC1E36"/>
    <w:rsid w:val="00DC3064"/>
    <w:rsid w:val="00DC3399"/>
    <w:rsid w:val="00DC3BB0"/>
    <w:rsid w:val="00DC3F37"/>
    <w:rsid w:val="00DC40C7"/>
    <w:rsid w:val="00DC5195"/>
    <w:rsid w:val="00DC5971"/>
    <w:rsid w:val="00DC718F"/>
    <w:rsid w:val="00DD1C7C"/>
    <w:rsid w:val="00DD281F"/>
    <w:rsid w:val="00DD2832"/>
    <w:rsid w:val="00DD302F"/>
    <w:rsid w:val="00DD4086"/>
    <w:rsid w:val="00DD5185"/>
    <w:rsid w:val="00DD5192"/>
    <w:rsid w:val="00DD526A"/>
    <w:rsid w:val="00DD575F"/>
    <w:rsid w:val="00DD61A6"/>
    <w:rsid w:val="00DD640F"/>
    <w:rsid w:val="00DD6CE8"/>
    <w:rsid w:val="00DD7258"/>
    <w:rsid w:val="00DD7481"/>
    <w:rsid w:val="00DD79C6"/>
    <w:rsid w:val="00DD7FE6"/>
    <w:rsid w:val="00DE0C4F"/>
    <w:rsid w:val="00DE0CF2"/>
    <w:rsid w:val="00DE110B"/>
    <w:rsid w:val="00DE153B"/>
    <w:rsid w:val="00DE1C35"/>
    <w:rsid w:val="00DE1D53"/>
    <w:rsid w:val="00DE21BD"/>
    <w:rsid w:val="00DE24A6"/>
    <w:rsid w:val="00DE296E"/>
    <w:rsid w:val="00DE2D0C"/>
    <w:rsid w:val="00DE2DAF"/>
    <w:rsid w:val="00DE306A"/>
    <w:rsid w:val="00DE312A"/>
    <w:rsid w:val="00DE381E"/>
    <w:rsid w:val="00DE3943"/>
    <w:rsid w:val="00DE40B2"/>
    <w:rsid w:val="00DE4EE7"/>
    <w:rsid w:val="00DE5292"/>
    <w:rsid w:val="00DE58FA"/>
    <w:rsid w:val="00DE60CC"/>
    <w:rsid w:val="00DE6204"/>
    <w:rsid w:val="00DE6F8B"/>
    <w:rsid w:val="00DE7498"/>
    <w:rsid w:val="00DE7612"/>
    <w:rsid w:val="00DE7777"/>
    <w:rsid w:val="00DE7BFA"/>
    <w:rsid w:val="00DE7F2C"/>
    <w:rsid w:val="00DF0B58"/>
    <w:rsid w:val="00DF1FED"/>
    <w:rsid w:val="00DF25BB"/>
    <w:rsid w:val="00DF2795"/>
    <w:rsid w:val="00DF2C92"/>
    <w:rsid w:val="00DF2D26"/>
    <w:rsid w:val="00DF3568"/>
    <w:rsid w:val="00DF3776"/>
    <w:rsid w:val="00DF46AA"/>
    <w:rsid w:val="00DF51A9"/>
    <w:rsid w:val="00DF54F8"/>
    <w:rsid w:val="00DF5AB6"/>
    <w:rsid w:val="00DF5F07"/>
    <w:rsid w:val="00DF687F"/>
    <w:rsid w:val="00DF77ED"/>
    <w:rsid w:val="00DF7DB9"/>
    <w:rsid w:val="00E003D5"/>
    <w:rsid w:val="00E00824"/>
    <w:rsid w:val="00E0096E"/>
    <w:rsid w:val="00E0111D"/>
    <w:rsid w:val="00E01567"/>
    <w:rsid w:val="00E015F8"/>
    <w:rsid w:val="00E01735"/>
    <w:rsid w:val="00E02170"/>
    <w:rsid w:val="00E0334A"/>
    <w:rsid w:val="00E03AF9"/>
    <w:rsid w:val="00E050FA"/>
    <w:rsid w:val="00E0566D"/>
    <w:rsid w:val="00E05755"/>
    <w:rsid w:val="00E06F39"/>
    <w:rsid w:val="00E07410"/>
    <w:rsid w:val="00E109C6"/>
    <w:rsid w:val="00E11FC3"/>
    <w:rsid w:val="00E12C2B"/>
    <w:rsid w:val="00E132DA"/>
    <w:rsid w:val="00E137E5"/>
    <w:rsid w:val="00E1424D"/>
    <w:rsid w:val="00E14276"/>
    <w:rsid w:val="00E14ECA"/>
    <w:rsid w:val="00E15045"/>
    <w:rsid w:val="00E150D3"/>
    <w:rsid w:val="00E1558A"/>
    <w:rsid w:val="00E16020"/>
    <w:rsid w:val="00E16408"/>
    <w:rsid w:val="00E174B0"/>
    <w:rsid w:val="00E20208"/>
    <w:rsid w:val="00E20458"/>
    <w:rsid w:val="00E206B0"/>
    <w:rsid w:val="00E2140F"/>
    <w:rsid w:val="00E2163F"/>
    <w:rsid w:val="00E22772"/>
    <w:rsid w:val="00E234CA"/>
    <w:rsid w:val="00E24AC1"/>
    <w:rsid w:val="00E25645"/>
    <w:rsid w:val="00E25BD5"/>
    <w:rsid w:val="00E26678"/>
    <w:rsid w:val="00E26ABA"/>
    <w:rsid w:val="00E278C5"/>
    <w:rsid w:val="00E27A7B"/>
    <w:rsid w:val="00E30B54"/>
    <w:rsid w:val="00E31749"/>
    <w:rsid w:val="00E31D33"/>
    <w:rsid w:val="00E31DD1"/>
    <w:rsid w:val="00E321BC"/>
    <w:rsid w:val="00E3237A"/>
    <w:rsid w:val="00E32393"/>
    <w:rsid w:val="00E328BC"/>
    <w:rsid w:val="00E328D0"/>
    <w:rsid w:val="00E32BC6"/>
    <w:rsid w:val="00E32F03"/>
    <w:rsid w:val="00E334F6"/>
    <w:rsid w:val="00E338B4"/>
    <w:rsid w:val="00E33ED2"/>
    <w:rsid w:val="00E33F3C"/>
    <w:rsid w:val="00E34032"/>
    <w:rsid w:val="00E3513B"/>
    <w:rsid w:val="00E3527D"/>
    <w:rsid w:val="00E3757C"/>
    <w:rsid w:val="00E37B7D"/>
    <w:rsid w:val="00E37C68"/>
    <w:rsid w:val="00E37F79"/>
    <w:rsid w:val="00E4052B"/>
    <w:rsid w:val="00E405E0"/>
    <w:rsid w:val="00E40DCA"/>
    <w:rsid w:val="00E4197A"/>
    <w:rsid w:val="00E4201F"/>
    <w:rsid w:val="00E4206D"/>
    <w:rsid w:val="00E425A5"/>
    <w:rsid w:val="00E4264F"/>
    <w:rsid w:val="00E42CAE"/>
    <w:rsid w:val="00E43222"/>
    <w:rsid w:val="00E434A7"/>
    <w:rsid w:val="00E434D5"/>
    <w:rsid w:val="00E43657"/>
    <w:rsid w:val="00E43871"/>
    <w:rsid w:val="00E439E0"/>
    <w:rsid w:val="00E43B3A"/>
    <w:rsid w:val="00E44101"/>
    <w:rsid w:val="00E44C77"/>
    <w:rsid w:val="00E44F0F"/>
    <w:rsid w:val="00E45D08"/>
    <w:rsid w:val="00E4657E"/>
    <w:rsid w:val="00E465D3"/>
    <w:rsid w:val="00E46B67"/>
    <w:rsid w:val="00E470B0"/>
    <w:rsid w:val="00E47AA6"/>
    <w:rsid w:val="00E47C74"/>
    <w:rsid w:val="00E47F9C"/>
    <w:rsid w:val="00E50119"/>
    <w:rsid w:val="00E51458"/>
    <w:rsid w:val="00E51E26"/>
    <w:rsid w:val="00E52632"/>
    <w:rsid w:val="00E529FC"/>
    <w:rsid w:val="00E53A97"/>
    <w:rsid w:val="00E5455E"/>
    <w:rsid w:val="00E554E5"/>
    <w:rsid w:val="00E55ED8"/>
    <w:rsid w:val="00E56337"/>
    <w:rsid w:val="00E56DF6"/>
    <w:rsid w:val="00E57575"/>
    <w:rsid w:val="00E57F38"/>
    <w:rsid w:val="00E60491"/>
    <w:rsid w:val="00E60A9B"/>
    <w:rsid w:val="00E60CA6"/>
    <w:rsid w:val="00E618C4"/>
    <w:rsid w:val="00E61B2A"/>
    <w:rsid w:val="00E626B1"/>
    <w:rsid w:val="00E62F45"/>
    <w:rsid w:val="00E634DD"/>
    <w:rsid w:val="00E63E6A"/>
    <w:rsid w:val="00E64BDA"/>
    <w:rsid w:val="00E64D0D"/>
    <w:rsid w:val="00E6554E"/>
    <w:rsid w:val="00E6751B"/>
    <w:rsid w:val="00E67A2C"/>
    <w:rsid w:val="00E7002E"/>
    <w:rsid w:val="00E701B0"/>
    <w:rsid w:val="00E71A20"/>
    <w:rsid w:val="00E71E9C"/>
    <w:rsid w:val="00E72055"/>
    <w:rsid w:val="00E7218C"/>
    <w:rsid w:val="00E7219F"/>
    <w:rsid w:val="00E7280D"/>
    <w:rsid w:val="00E7292F"/>
    <w:rsid w:val="00E72B75"/>
    <w:rsid w:val="00E738D1"/>
    <w:rsid w:val="00E73FE9"/>
    <w:rsid w:val="00E75000"/>
    <w:rsid w:val="00E751D0"/>
    <w:rsid w:val="00E752F4"/>
    <w:rsid w:val="00E7657A"/>
    <w:rsid w:val="00E76A4A"/>
    <w:rsid w:val="00E77BDE"/>
    <w:rsid w:val="00E805CB"/>
    <w:rsid w:val="00E80A33"/>
    <w:rsid w:val="00E8119F"/>
    <w:rsid w:val="00E82098"/>
    <w:rsid w:val="00E8216F"/>
    <w:rsid w:val="00E82372"/>
    <w:rsid w:val="00E82491"/>
    <w:rsid w:val="00E82525"/>
    <w:rsid w:val="00E82730"/>
    <w:rsid w:val="00E82739"/>
    <w:rsid w:val="00E83542"/>
    <w:rsid w:val="00E83A20"/>
    <w:rsid w:val="00E84723"/>
    <w:rsid w:val="00E8527A"/>
    <w:rsid w:val="00E85A9B"/>
    <w:rsid w:val="00E86EAD"/>
    <w:rsid w:val="00E8700F"/>
    <w:rsid w:val="00E87338"/>
    <w:rsid w:val="00E90C81"/>
    <w:rsid w:val="00E90D2C"/>
    <w:rsid w:val="00E931A9"/>
    <w:rsid w:val="00E94442"/>
    <w:rsid w:val="00E9466A"/>
    <w:rsid w:val="00E94D67"/>
    <w:rsid w:val="00E962E0"/>
    <w:rsid w:val="00E963BB"/>
    <w:rsid w:val="00E96863"/>
    <w:rsid w:val="00E976CD"/>
    <w:rsid w:val="00EA0127"/>
    <w:rsid w:val="00EA0D12"/>
    <w:rsid w:val="00EA1264"/>
    <w:rsid w:val="00EA1C5E"/>
    <w:rsid w:val="00EA221E"/>
    <w:rsid w:val="00EA2278"/>
    <w:rsid w:val="00EA2904"/>
    <w:rsid w:val="00EA330F"/>
    <w:rsid w:val="00EA3959"/>
    <w:rsid w:val="00EA3DCE"/>
    <w:rsid w:val="00EA4819"/>
    <w:rsid w:val="00EA4BA3"/>
    <w:rsid w:val="00EA4CFB"/>
    <w:rsid w:val="00EA595A"/>
    <w:rsid w:val="00EB10D4"/>
    <w:rsid w:val="00EB1B47"/>
    <w:rsid w:val="00EB2939"/>
    <w:rsid w:val="00EB2E0E"/>
    <w:rsid w:val="00EB2FC4"/>
    <w:rsid w:val="00EB3BC0"/>
    <w:rsid w:val="00EB43DA"/>
    <w:rsid w:val="00EB4663"/>
    <w:rsid w:val="00EB509E"/>
    <w:rsid w:val="00EB58EB"/>
    <w:rsid w:val="00EB59E8"/>
    <w:rsid w:val="00EB660A"/>
    <w:rsid w:val="00EB6AA3"/>
    <w:rsid w:val="00EB6F1A"/>
    <w:rsid w:val="00EB79F7"/>
    <w:rsid w:val="00EB7DC8"/>
    <w:rsid w:val="00EB7E71"/>
    <w:rsid w:val="00EC0248"/>
    <w:rsid w:val="00EC063A"/>
    <w:rsid w:val="00EC0674"/>
    <w:rsid w:val="00EC1680"/>
    <w:rsid w:val="00EC2E88"/>
    <w:rsid w:val="00EC4005"/>
    <w:rsid w:val="00EC422A"/>
    <w:rsid w:val="00EC427C"/>
    <w:rsid w:val="00EC4680"/>
    <w:rsid w:val="00EC491D"/>
    <w:rsid w:val="00EC4948"/>
    <w:rsid w:val="00EC4A2F"/>
    <w:rsid w:val="00EC5510"/>
    <w:rsid w:val="00EC5B64"/>
    <w:rsid w:val="00EC601B"/>
    <w:rsid w:val="00EC7759"/>
    <w:rsid w:val="00EC78DA"/>
    <w:rsid w:val="00EC7D86"/>
    <w:rsid w:val="00ED19F1"/>
    <w:rsid w:val="00ED1A39"/>
    <w:rsid w:val="00ED1FAA"/>
    <w:rsid w:val="00ED39EA"/>
    <w:rsid w:val="00ED441D"/>
    <w:rsid w:val="00ED4B7C"/>
    <w:rsid w:val="00ED4C02"/>
    <w:rsid w:val="00ED4DCF"/>
    <w:rsid w:val="00ED505A"/>
    <w:rsid w:val="00ED5A99"/>
    <w:rsid w:val="00ED60BD"/>
    <w:rsid w:val="00ED6320"/>
    <w:rsid w:val="00ED7338"/>
    <w:rsid w:val="00ED7559"/>
    <w:rsid w:val="00EE0C47"/>
    <w:rsid w:val="00EE0E08"/>
    <w:rsid w:val="00EE167F"/>
    <w:rsid w:val="00EE1BDB"/>
    <w:rsid w:val="00EE1C82"/>
    <w:rsid w:val="00EE2341"/>
    <w:rsid w:val="00EE3C23"/>
    <w:rsid w:val="00EE3E29"/>
    <w:rsid w:val="00EE3FDF"/>
    <w:rsid w:val="00EE4E6A"/>
    <w:rsid w:val="00EE544E"/>
    <w:rsid w:val="00EE6057"/>
    <w:rsid w:val="00EE6D56"/>
    <w:rsid w:val="00EE6EB7"/>
    <w:rsid w:val="00EE7722"/>
    <w:rsid w:val="00EE7744"/>
    <w:rsid w:val="00EF0098"/>
    <w:rsid w:val="00EF0AA1"/>
    <w:rsid w:val="00EF1BDB"/>
    <w:rsid w:val="00EF3322"/>
    <w:rsid w:val="00EF3BB2"/>
    <w:rsid w:val="00EF400D"/>
    <w:rsid w:val="00EF48F8"/>
    <w:rsid w:val="00EF49E9"/>
    <w:rsid w:val="00EF5D57"/>
    <w:rsid w:val="00EF6597"/>
    <w:rsid w:val="00EF6CBA"/>
    <w:rsid w:val="00EF6CEC"/>
    <w:rsid w:val="00EF6D18"/>
    <w:rsid w:val="00EF6F80"/>
    <w:rsid w:val="00EF77C5"/>
    <w:rsid w:val="00F0028D"/>
    <w:rsid w:val="00F00F77"/>
    <w:rsid w:val="00F010D5"/>
    <w:rsid w:val="00F0115E"/>
    <w:rsid w:val="00F0135B"/>
    <w:rsid w:val="00F01FCF"/>
    <w:rsid w:val="00F02088"/>
    <w:rsid w:val="00F02148"/>
    <w:rsid w:val="00F0214A"/>
    <w:rsid w:val="00F0228B"/>
    <w:rsid w:val="00F02760"/>
    <w:rsid w:val="00F02A8B"/>
    <w:rsid w:val="00F02CE7"/>
    <w:rsid w:val="00F032AA"/>
    <w:rsid w:val="00F04538"/>
    <w:rsid w:val="00F04995"/>
    <w:rsid w:val="00F05452"/>
    <w:rsid w:val="00F06C2B"/>
    <w:rsid w:val="00F079DD"/>
    <w:rsid w:val="00F07C7A"/>
    <w:rsid w:val="00F100C5"/>
    <w:rsid w:val="00F101F8"/>
    <w:rsid w:val="00F10287"/>
    <w:rsid w:val="00F104F4"/>
    <w:rsid w:val="00F10CF8"/>
    <w:rsid w:val="00F11CBF"/>
    <w:rsid w:val="00F11D1F"/>
    <w:rsid w:val="00F11D68"/>
    <w:rsid w:val="00F1258A"/>
    <w:rsid w:val="00F1384E"/>
    <w:rsid w:val="00F13923"/>
    <w:rsid w:val="00F14366"/>
    <w:rsid w:val="00F14B50"/>
    <w:rsid w:val="00F15230"/>
    <w:rsid w:val="00F15278"/>
    <w:rsid w:val="00F15661"/>
    <w:rsid w:val="00F156A6"/>
    <w:rsid w:val="00F1598B"/>
    <w:rsid w:val="00F1652F"/>
    <w:rsid w:val="00F171EC"/>
    <w:rsid w:val="00F17706"/>
    <w:rsid w:val="00F2019C"/>
    <w:rsid w:val="00F20989"/>
    <w:rsid w:val="00F20E12"/>
    <w:rsid w:val="00F21B0A"/>
    <w:rsid w:val="00F2354B"/>
    <w:rsid w:val="00F23697"/>
    <w:rsid w:val="00F23859"/>
    <w:rsid w:val="00F23AF1"/>
    <w:rsid w:val="00F23E5E"/>
    <w:rsid w:val="00F23F9D"/>
    <w:rsid w:val="00F24B1E"/>
    <w:rsid w:val="00F24F60"/>
    <w:rsid w:val="00F25227"/>
    <w:rsid w:val="00F258FF"/>
    <w:rsid w:val="00F2599F"/>
    <w:rsid w:val="00F25C89"/>
    <w:rsid w:val="00F2695F"/>
    <w:rsid w:val="00F27346"/>
    <w:rsid w:val="00F2773B"/>
    <w:rsid w:val="00F27F0A"/>
    <w:rsid w:val="00F310E5"/>
    <w:rsid w:val="00F3159F"/>
    <w:rsid w:val="00F32636"/>
    <w:rsid w:val="00F34991"/>
    <w:rsid w:val="00F35AEE"/>
    <w:rsid w:val="00F3655F"/>
    <w:rsid w:val="00F36D78"/>
    <w:rsid w:val="00F401FB"/>
    <w:rsid w:val="00F40433"/>
    <w:rsid w:val="00F40B96"/>
    <w:rsid w:val="00F41D85"/>
    <w:rsid w:val="00F425A9"/>
    <w:rsid w:val="00F4326D"/>
    <w:rsid w:val="00F432D4"/>
    <w:rsid w:val="00F4447A"/>
    <w:rsid w:val="00F44516"/>
    <w:rsid w:val="00F44640"/>
    <w:rsid w:val="00F4478E"/>
    <w:rsid w:val="00F44AAE"/>
    <w:rsid w:val="00F44B25"/>
    <w:rsid w:val="00F44DFE"/>
    <w:rsid w:val="00F45032"/>
    <w:rsid w:val="00F45A9A"/>
    <w:rsid w:val="00F46072"/>
    <w:rsid w:val="00F460CA"/>
    <w:rsid w:val="00F473E9"/>
    <w:rsid w:val="00F4754B"/>
    <w:rsid w:val="00F50219"/>
    <w:rsid w:val="00F50D2E"/>
    <w:rsid w:val="00F51170"/>
    <w:rsid w:val="00F51813"/>
    <w:rsid w:val="00F51B57"/>
    <w:rsid w:val="00F548A9"/>
    <w:rsid w:val="00F54EF0"/>
    <w:rsid w:val="00F5509E"/>
    <w:rsid w:val="00F55261"/>
    <w:rsid w:val="00F55B48"/>
    <w:rsid w:val="00F566F2"/>
    <w:rsid w:val="00F56703"/>
    <w:rsid w:val="00F56E57"/>
    <w:rsid w:val="00F57134"/>
    <w:rsid w:val="00F57C8B"/>
    <w:rsid w:val="00F57D8F"/>
    <w:rsid w:val="00F57EBE"/>
    <w:rsid w:val="00F602A1"/>
    <w:rsid w:val="00F6079B"/>
    <w:rsid w:val="00F60869"/>
    <w:rsid w:val="00F60A53"/>
    <w:rsid w:val="00F61AEA"/>
    <w:rsid w:val="00F62DAA"/>
    <w:rsid w:val="00F63483"/>
    <w:rsid w:val="00F642E8"/>
    <w:rsid w:val="00F65B02"/>
    <w:rsid w:val="00F662FE"/>
    <w:rsid w:val="00F665F6"/>
    <w:rsid w:val="00F66E03"/>
    <w:rsid w:val="00F6755A"/>
    <w:rsid w:val="00F67B6B"/>
    <w:rsid w:val="00F70DAC"/>
    <w:rsid w:val="00F70E80"/>
    <w:rsid w:val="00F71AF8"/>
    <w:rsid w:val="00F71FC1"/>
    <w:rsid w:val="00F725FA"/>
    <w:rsid w:val="00F72C43"/>
    <w:rsid w:val="00F72C5F"/>
    <w:rsid w:val="00F736A0"/>
    <w:rsid w:val="00F73730"/>
    <w:rsid w:val="00F73A56"/>
    <w:rsid w:val="00F73AF4"/>
    <w:rsid w:val="00F74281"/>
    <w:rsid w:val="00F7428D"/>
    <w:rsid w:val="00F7442A"/>
    <w:rsid w:val="00F74B7C"/>
    <w:rsid w:val="00F74F12"/>
    <w:rsid w:val="00F758CB"/>
    <w:rsid w:val="00F761B6"/>
    <w:rsid w:val="00F7671C"/>
    <w:rsid w:val="00F76CE3"/>
    <w:rsid w:val="00F76DA6"/>
    <w:rsid w:val="00F77961"/>
    <w:rsid w:val="00F77D09"/>
    <w:rsid w:val="00F80342"/>
    <w:rsid w:val="00F807F2"/>
    <w:rsid w:val="00F807FE"/>
    <w:rsid w:val="00F81782"/>
    <w:rsid w:val="00F81852"/>
    <w:rsid w:val="00F8194F"/>
    <w:rsid w:val="00F81EFF"/>
    <w:rsid w:val="00F82334"/>
    <w:rsid w:val="00F824F4"/>
    <w:rsid w:val="00F82522"/>
    <w:rsid w:val="00F82957"/>
    <w:rsid w:val="00F840F4"/>
    <w:rsid w:val="00F84A5C"/>
    <w:rsid w:val="00F84B94"/>
    <w:rsid w:val="00F85020"/>
    <w:rsid w:val="00F85922"/>
    <w:rsid w:val="00F85DF3"/>
    <w:rsid w:val="00F862C7"/>
    <w:rsid w:val="00F864D5"/>
    <w:rsid w:val="00F86DBB"/>
    <w:rsid w:val="00F87942"/>
    <w:rsid w:val="00F900D5"/>
    <w:rsid w:val="00F90307"/>
    <w:rsid w:val="00F9074C"/>
    <w:rsid w:val="00F92584"/>
    <w:rsid w:val="00F9352E"/>
    <w:rsid w:val="00F935BC"/>
    <w:rsid w:val="00F936B3"/>
    <w:rsid w:val="00F93826"/>
    <w:rsid w:val="00F94009"/>
    <w:rsid w:val="00F94BA4"/>
    <w:rsid w:val="00F94D9A"/>
    <w:rsid w:val="00F958A4"/>
    <w:rsid w:val="00F95A56"/>
    <w:rsid w:val="00F95F1A"/>
    <w:rsid w:val="00F965F0"/>
    <w:rsid w:val="00F96F93"/>
    <w:rsid w:val="00F97046"/>
    <w:rsid w:val="00F972C3"/>
    <w:rsid w:val="00F972E7"/>
    <w:rsid w:val="00F97863"/>
    <w:rsid w:val="00FA046F"/>
    <w:rsid w:val="00FA1078"/>
    <w:rsid w:val="00FA110A"/>
    <w:rsid w:val="00FA11F1"/>
    <w:rsid w:val="00FA157F"/>
    <w:rsid w:val="00FA186A"/>
    <w:rsid w:val="00FA189C"/>
    <w:rsid w:val="00FA1CD5"/>
    <w:rsid w:val="00FA2537"/>
    <w:rsid w:val="00FA2CF9"/>
    <w:rsid w:val="00FA377E"/>
    <w:rsid w:val="00FA3CBF"/>
    <w:rsid w:val="00FA43F6"/>
    <w:rsid w:val="00FA5340"/>
    <w:rsid w:val="00FA5E92"/>
    <w:rsid w:val="00FA6039"/>
    <w:rsid w:val="00FA6762"/>
    <w:rsid w:val="00FA6871"/>
    <w:rsid w:val="00FA6F56"/>
    <w:rsid w:val="00FA7247"/>
    <w:rsid w:val="00FB01E3"/>
    <w:rsid w:val="00FB023A"/>
    <w:rsid w:val="00FB09F1"/>
    <w:rsid w:val="00FB1606"/>
    <w:rsid w:val="00FB1B2C"/>
    <w:rsid w:val="00FB1D8B"/>
    <w:rsid w:val="00FB20CF"/>
    <w:rsid w:val="00FB22F3"/>
    <w:rsid w:val="00FB2C08"/>
    <w:rsid w:val="00FB2CDC"/>
    <w:rsid w:val="00FB3566"/>
    <w:rsid w:val="00FB3685"/>
    <w:rsid w:val="00FB3E35"/>
    <w:rsid w:val="00FB3FB1"/>
    <w:rsid w:val="00FB53E5"/>
    <w:rsid w:val="00FB5DAF"/>
    <w:rsid w:val="00FB640B"/>
    <w:rsid w:val="00FB7372"/>
    <w:rsid w:val="00FB7578"/>
    <w:rsid w:val="00FB7733"/>
    <w:rsid w:val="00FC0012"/>
    <w:rsid w:val="00FC04B5"/>
    <w:rsid w:val="00FC134C"/>
    <w:rsid w:val="00FC1A81"/>
    <w:rsid w:val="00FC209E"/>
    <w:rsid w:val="00FC216B"/>
    <w:rsid w:val="00FC29BE"/>
    <w:rsid w:val="00FC2A60"/>
    <w:rsid w:val="00FC37A2"/>
    <w:rsid w:val="00FC3B9B"/>
    <w:rsid w:val="00FC3EA7"/>
    <w:rsid w:val="00FC3FE3"/>
    <w:rsid w:val="00FC4427"/>
    <w:rsid w:val="00FC605B"/>
    <w:rsid w:val="00FC6800"/>
    <w:rsid w:val="00FC6BFC"/>
    <w:rsid w:val="00FD0453"/>
    <w:rsid w:val="00FD0ABD"/>
    <w:rsid w:val="00FD1146"/>
    <w:rsid w:val="00FD189F"/>
    <w:rsid w:val="00FD1E3B"/>
    <w:rsid w:val="00FD39E4"/>
    <w:rsid w:val="00FD4527"/>
    <w:rsid w:val="00FD5907"/>
    <w:rsid w:val="00FD612F"/>
    <w:rsid w:val="00FD63A0"/>
    <w:rsid w:val="00FD6B64"/>
    <w:rsid w:val="00FD6BB3"/>
    <w:rsid w:val="00FE0D5B"/>
    <w:rsid w:val="00FE11C6"/>
    <w:rsid w:val="00FE1C5D"/>
    <w:rsid w:val="00FE1F2A"/>
    <w:rsid w:val="00FE2D5E"/>
    <w:rsid w:val="00FE3D9E"/>
    <w:rsid w:val="00FE3E90"/>
    <w:rsid w:val="00FE3F72"/>
    <w:rsid w:val="00FE5430"/>
    <w:rsid w:val="00FE56B4"/>
    <w:rsid w:val="00FE6600"/>
    <w:rsid w:val="00FE6690"/>
    <w:rsid w:val="00FE6B60"/>
    <w:rsid w:val="00FE6C4E"/>
    <w:rsid w:val="00FE7B7A"/>
    <w:rsid w:val="00FE7D69"/>
    <w:rsid w:val="00FF05D9"/>
    <w:rsid w:val="00FF0770"/>
    <w:rsid w:val="00FF111C"/>
    <w:rsid w:val="00FF238C"/>
    <w:rsid w:val="00FF260C"/>
    <w:rsid w:val="00FF29E5"/>
    <w:rsid w:val="00FF2B3F"/>
    <w:rsid w:val="00FF2EBE"/>
    <w:rsid w:val="00FF2FEB"/>
    <w:rsid w:val="00FF30A3"/>
    <w:rsid w:val="00FF37A8"/>
    <w:rsid w:val="00FF53D5"/>
    <w:rsid w:val="00FF570D"/>
    <w:rsid w:val="00FF684D"/>
    <w:rsid w:val="00FF6EB6"/>
    <w:rsid w:val="00FF7072"/>
    <w:rsid w:val="00FF73B3"/>
    <w:rsid w:val="00FF74EF"/>
    <w:rsid w:val="00FF7620"/>
    <w:rsid w:val="00FF7978"/>
    <w:rsid w:val="00FF7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835312E"/>
  <w15:docId w15:val="{4C332BDE-9830-4ADB-8388-C4E53EF01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25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B22B5"/>
    <w:rPr>
      <w:color w:val="0000FF" w:themeColor="hyperlink"/>
      <w:u w:val="single"/>
    </w:rPr>
  </w:style>
  <w:style w:type="paragraph" w:styleId="2">
    <w:name w:val="List 2"/>
    <w:basedOn w:val="a"/>
    <w:uiPriority w:val="99"/>
    <w:semiHidden/>
    <w:unhideWhenUsed/>
    <w:rsid w:val="00262F6E"/>
    <w:pPr>
      <w:ind w:left="566" w:hanging="283"/>
      <w:contextualSpacing/>
    </w:pPr>
  </w:style>
  <w:style w:type="paragraph" w:styleId="a4">
    <w:name w:val="annotation text"/>
    <w:basedOn w:val="a"/>
    <w:link w:val="a5"/>
    <w:uiPriority w:val="99"/>
    <w:semiHidden/>
    <w:unhideWhenUsed/>
    <w:rsid w:val="003F3286"/>
    <w:pPr>
      <w:spacing w:line="240" w:lineRule="auto"/>
    </w:pPr>
    <w:rPr>
      <w:sz w:val="20"/>
      <w:szCs w:val="20"/>
    </w:rPr>
  </w:style>
  <w:style w:type="character" w:customStyle="1" w:styleId="a5">
    <w:name w:val="Текст примечания Знак"/>
    <w:basedOn w:val="a0"/>
    <w:link w:val="a4"/>
    <w:uiPriority w:val="99"/>
    <w:semiHidden/>
    <w:rsid w:val="003F3286"/>
    <w:rPr>
      <w:sz w:val="20"/>
      <w:szCs w:val="20"/>
    </w:rPr>
  </w:style>
  <w:style w:type="character" w:styleId="a6">
    <w:name w:val="annotation reference"/>
    <w:basedOn w:val="a0"/>
    <w:uiPriority w:val="99"/>
    <w:semiHidden/>
    <w:unhideWhenUsed/>
    <w:rsid w:val="003F3286"/>
    <w:rPr>
      <w:sz w:val="16"/>
      <w:szCs w:val="16"/>
    </w:rPr>
  </w:style>
  <w:style w:type="paragraph" w:styleId="a7">
    <w:name w:val="Balloon Text"/>
    <w:basedOn w:val="a"/>
    <w:link w:val="a8"/>
    <w:uiPriority w:val="99"/>
    <w:semiHidden/>
    <w:unhideWhenUsed/>
    <w:rsid w:val="003F328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F3286"/>
    <w:rPr>
      <w:rFonts w:ascii="Segoe UI" w:hAnsi="Segoe UI" w:cs="Segoe UI"/>
      <w:sz w:val="18"/>
      <w:szCs w:val="18"/>
    </w:rPr>
  </w:style>
  <w:style w:type="paragraph" w:customStyle="1" w:styleId="Style5">
    <w:name w:val="Style5"/>
    <w:basedOn w:val="a"/>
    <w:uiPriority w:val="99"/>
    <w:rsid w:val="00E137E5"/>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character" w:customStyle="1" w:styleId="1">
    <w:name w:val="Неразрешенное упоминание1"/>
    <w:basedOn w:val="a0"/>
    <w:uiPriority w:val="99"/>
    <w:semiHidden/>
    <w:unhideWhenUsed/>
    <w:rsid w:val="009D49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912731">
      <w:bodyDiv w:val="1"/>
      <w:marLeft w:val="0"/>
      <w:marRight w:val="0"/>
      <w:marTop w:val="0"/>
      <w:marBottom w:val="0"/>
      <w:divBdr>
        <w:top w:val="none" w:sz="0" w:space="0" w:color="auto"/>
        <w:left w:val="none" w:sz="0" w:space="0" w:color="auto"/>
        <w:bottom w:val="none" w:sz="0" w:space="0" w:color="auto"/>
        <w:right w:val="none" w:sz="0" w:space="0" w:color="auto"/>
      </w:divBdr>
    </w:div>
    <w:div w:id="272904248">
      <w:bodyDiv w:val="1"/>
      <w:marLeft w:val="0"/>
      <w:marRight w:val="0"/>
      <w:marTop w:val="0"/>
      <w:marBottom w:val="0"/>
      <w:divBdr>
        <w:top w:val="none" w:sz="0" w:space="0" w:color="auto"/>
        <w:left w:val="none" w:sz="0" w:space="0" w:color="auto"/>
        <w:bottom w:val="none" w:sz="0" w:space="0" w:color="auto"/>
        <w:right w:val="none" w:sz="0" w:space="0" w:color="auto"/>
      </w:divBdr>
      <w:divsChild>
        <w:div w:id="2009598260">
          <w:marLeft w:val="0"/>
          <w:marRight w:val="0"/>
          <w:marTop w:val="0"/>
          <w:marBottom w:val="0"/>
          <w:divBdr>
            <w:top w:val="none" w:sz="0" w:space="0" w:color="auto"/>
            <w:left w:val="none" w:sz="0" w:space="0" w:color="auto"/>
            <w:bottom w:val="none" w:sz="0" w:space="0" w:color="auto"/>
            <w:right w:val="none" w:sz="0" w:space="0" w:color="auto"/>
          </w:divBdr>
          <w:divsChild>
            <w:div w:id="1075976036">
              <w:marLeft w:val="0"/>
              <w:marRight w:val="0"/>
              <w:marTop w:val="0"/>
              <w:marBottom w:val="0"/>
              <w:divBdr>
                <w:top w:val="none" w:sz="0" w:space="0" w:color="auto"/>
                <w:left w:val="none" w:sz="0" w:space="0" w:color="auto"/>
                <w:bottom w:val="none" w:sz="0" w:space="0" w:color="auto"/>
                <w:right w:val="none" w:sz="0" w:space="0" w:color="auto"/>
              </w:divBdr>
              <w:divsChild>
                <w:div w:id="9189121">
                  <w:marLeft w:val="0"/>
                  <w:marRight w:val="0"/>
                  <w:marTop w:val="0"/>
                  <w:marBottom w:val="0"/>
                  <w:divBdr>
                    <w:top w:val="none" w:sz="0" w:space="0" w:color="auto"/>
                    <w:left w:val="none" w:sz="0" w:space="0" w:color="auto"/>
                    <w:bottom w:val="none" w:sz="0" w:space="0" w:color="auto"/>
                    <w:right w:val="none" w:sz="0" w:space="0" w:color="auto"/>
                  </w:divBdr>
                  <w:divsChild>
                    <w:div w:id="2114785735">
                      <w:marLeft w:val="0"/>
                      <w:marRight w:val="0"/>
                      <w:marTop w:val="0"/>
                      <w:marBottom w:val="0"/>
                      <w:divBdr>
                        <w:top w:val="none" w:sz="0" w:space="0" w:color="auto"/>
                        <w:left w:val="none" w:sz="0" w:space="0" w:color="auto"/>
                        <w:bottom w:val="none" w:sz="0" w:space="0" w:color="auto"/>
                        <w:right w:val="none" w:sz="0" w:space="0" w:color="auto"/>
                      </w:divBdr>
                      <w:divsChild>
                        <w:div w:id="845558207">
                          <w:marLeft w:val="0"/>
                          <w:marRight w:val="0"/>
                          <w:marTop w:val="0"/>
                          <w:marBottom w:val="0"/>
                          <w:divBdr>
                            <w:top w:val="none" w:sz="0" w:space="0" w:color="auto"/>
                            <w:left w:val="none" w:sz="0" w:space="0" w:color="auto"/>
                            <w:bottom w:val="none" w:sz="0" w:space="0" w:color="auto"/>
                            <w:right w:val="none" w:sz="0" w:space="0" w:color="auto"/>
                          </w:divBdr>
                          <w:divsChild>
                            <w:div w:id="25369453">
                              <w:marLeft w:val="2070"/>
                              <w:marRight w:val="3960"/>
                              <w:marTop w:val="0"/>
                              <w:marBottom w:val="0"/>
                              <w:divBdr>
                                <w:top w:val="none" w:sz="0" w:space="0" w:color="auto"/>
                                <w:left w:val="none" w:sz="0" w:space="0" w:color="auto"/>
                                <w:bottom w:val="none" w:sz="0" w:space="0" w:color="auto"/>
                                <w:right w:val="none" w:sz="0" w:space="0" w:color="auto"/>
                              </w:divBdr>
                              <w:divsChild>
                                <w:div w:id="1008488467">
                                  <w:marLeft w:val="0"/>
                                  <w:marRight w:val="0"/>
                                  <w:marTop w:val="0"/>
                                  <w:marBottom w:val="0"/>
                                  <w:divBdr>
                                    <w:top w:val="none" w:sz="0" w:space="0" w:color="auto"/>
                                    <w:left w:val="none" w:sz="0" w:space="0" w:color="auto"/>
                                    <w:bottom w:val="none" w:sz="0" w:space="0" w:color="auto"/>
                                    <w:right w:val="none" w:sz="0" w:space="0" w:color="auto"/>
                                  </w:divBdr>
                                  <w:divsChild>
                                    <w:div w:id="261303324">
                                      <w:marLeft w:val="0"/>
                                      <w:marRight w:val="0"/>
                                      <w:marTop w:val="0"/>
                                      <w:marBottom w:val="0"/>
                                      <w:divBdr>
                                        <w:top w:val="none" w:sz="0" w:space="0" w:color="auto"/>
                                        <w:left w:val="none" w:sz="0" w:space="0" w:color="auto"/>
                                        <w:bottom w:val="none" w:sz="0" w:space="0" w:color="auto"/>
                                        <w:right w:val="none" w:sz="0" w:space="0" w:color="auto"/>
                                      </w:divBdr>
                                      <w:divsChild>
                                        <w:div w:id="1757701758">
                                          <w:marLeft w:val="0"/>
                                          <w:marRight w:val="0"/>
                                          <w:marTop w:val="0"/>
                                          <w:marBottom w:val="0"/>
                                          <w:divBdr>
                                            <w:top w:val="none" w:sz="0" w:space="0" w:color="auto"/>
                                            <w:left w:val="none" w:sz="0" w:space="0" w:color="auto"/>
                                            <w:bottom w:val="none" w:sz="0" w:space="0" w:color="auto"/>
                                            <w:right w:val="none" w:sz="0" w:space="0" w:color="auto"/>
                                          </w:divBdr>
                                          <w:divsChild>
                                            <w:div w:id="1388257939">
                                              <w:marLeft w:val="0"/>
                                              <w:marRight w:val="0"/>
                                              <w:marTop w:val="90"/>
                                              <w:marBottom w:val="0"/>
                                              <w:divBdr>
                                                <w:top w:val="none" w:sz="0" w:space="0" w:color="auto"/>
                                                <w:left w:val="none" w:sz="0" w:space="0" w:color="auto"/>
                                                <w:bottom w:val="none" w:sz="0" w:space="0" w:color="auto"/>
                                                <w:right w:val="none" w:sz="0" w:space="0" w:color="auto"/>
                                              </w:divBdr>
                                              <w:divsChild>
                                                <w:div w:id="1260024298">
                                                  <w:marLeft w:val="0"/>
                                                  <w:marRight w:val="0"/>
                                                  <w:marTop w:val="0"/>
                                                  <w:marBottom w:val="0"/>
                                                  <w:divBdr>
                                                    <w:top w:val="none" w:sz="0" w:space="0" w:color="auto"/>
                                                    <w:left w:val="none" w:sz="0" w:space="0" w:color="auto"/>
                                                    <w:bottom w:val="none" w:sz="0" w:space="0" w:color="auto"/>
                                                    <w:right w:val="none" w:sz="0" w:space="0" w:color="auto"/>
                                                  </w:divBdr>
                                                  <w:divsChild>
                                                    <w:div w:id="930814159">
                                                      <w:marLeft w:val="0"/>
                                                      <w:marRight w:val="0"/>
                                                      <w:marTop w:val="0"/>
                                                      <w:marBottom w:val="405"/>
                                                      <w:divBdr>
                                                        <w:top w:val="none" w:sz="0" w:space="0" w:color="auto"/>
                                                        <w:left w:val="none" w:sz="0" w:space="0" w:color="auto"/>
                                                        <w:bottom w:val="none" w:sz="0" w:space="0" w:color="auto"/>
                                                        <w:right w:val="none" w:sz="0" w:space="0" w:color="auto"/>
                                                      </w:divBdr>
                                                      <w:divsChild>
                                                        <w:div w:id="1313487847">
                                                          <w:marLeft w:val="0"/>
                                                          <w:marRight w:val="0"/>
                                                          <w:marTop w:val="0"/>
                                                          <w:marBottom w:val="0"/>
                                                          <w:divBdr>
                                                            <w:top w:val="none" w:sz="0" w:space="0" w:color="auto"/>
                                                            <w:left w:val="none" w:sz="0" w:space="0" w:color="auto"/>
                                                            <w:bottom w:val="none" w:sz="0" w:space="0" w:color="auto"/>
                                                            <w:right w:val="none" w:sz="0" w:space="0" w:color="auto"/>
                                                          </w:divBdr>
                                                          <w:divsChild>
                                                            <w:div w:id="230194957">
                                                              <w:marLeft w:val="0"/>
                                                              <w:marRight w:val="0"/>
                                                              <w:marTop w:val="0"/>
                                                              <w:marBottom w:val="0"/>
                                                              <w:divBdr>
                                                                <w:top w:val="none" w:sz="0" w:space="0" w:color="auto"/>
                                                                <w:left w:val="none" w:sz="0" w:space="0" w:color="auto"/>
                                                                <w:bottom w:val="none" w:sz="0" w:space="0" w:color="auto"/>
                                                                <w:right w:val="none" w:sz="0" w:space="0" w:color="auto"/>
                                                              </w:divBdr>
                                                              <w:divsChild>
                                                                <w:div w:id="1706373144">
                                                                  <w:marLeft w:val="0"/>
                                                                  <w:marRight w:val="0"/>
                                                                  <w:marTop w:val="0"/>
                                                                  <w:marBottom w:val="0"/>
                                                                  <w:divBdr>
                                                                    <w:top w:val="none" w:sz="0" w:space="0" w:color="auto"/>
                                                                    <w:left w:val="none" w:sz="0" w:space="0" w:color="auto"/>
                                                                    <w:bottom w:val="none" w:sz="0" w:space="0" w:color="auto"/>
                                                                    <w:right w:val="none" w:sz="0" w:space="0" w:color="auto"/>
                                                                  </w:divBdr>
                                                                  <w:divsChild>
                                                                    <w:div w:id="1985230150">
                                                                      <w:marLeft w:val="0"/>
                                                                      <w:marRight w:val="0"/>
                                                                      <w:marTop w:val="0"/>
                                                                      <w:marBottom w:val="0"/>
                                                                      <w:divBdr>
                                                                        <w:top w:val="none" w:sz="0" w:space="0" w:color="auto"/>
                                                                        <w:left w:val="none" w:sz="0" w:space="0" w:color="auto"/>
                                                                        <w:bottom w:val="none" w:sz="0" w:space="0" w:color="auto"/>
                                                                        <w:right w:val="none" w:sz="0" w:space="0" w:color="auto"/>
                                                                      </w:divBdr>
                                                                      <w:divsChild>
                                                                        <w:div w:id="249966782">
                                                                          <w:marLeft w:val="0"/>
                                                                          <w:marRight w:val="0"/>
                                                                          <w:marTop w:val="0"/>
                                                                          <w:marBottom w:val="0"/>
                                                                          <w:divBdr>
                                                                            <w:top w:val="none" w:sz="0" w:space="0" w:color="auto"/>
                                                                            <w:left w:val="none" w:sz="0" w:space="0" w:color="auto"/>
                                                                            <w:bottom w:val="none" w:sz="0" w:space="0" w:color="auto"/>
                                                                            <w:right w:val="none" w:sz="0" w:space="0" w:color="auto"/>
                                                                          </w:divBdr>
                                                                          <w:divsChild>
                                                                            <w:div w:id="277878259">
                                                                              <w:marLeft w:val="0"/>
                                                                              <w:marRight w:val="0"/>
                                                                              <w:marTop w:val="0"/>
                                                                              <w:marBottom w:val="0"/>
                                                                              <w:divBdr>
                                                                                <w:top w:val="none" w:sz="0" w:space="0" w:color="auto"/>
                                                                                <w:left w:val="none" w:sz="0" w:space="0" w:color="auto"/>
                                                                                <w:bottom w:val="none" w:sz="0" w:space="0" w:color="auto"/>
                                                                                <w:right w:val="none" w:sz="0" w:space="0" w:color="auto"/>
                                                                              </w:divBdr>
                                                                              <w:divsChild>
                                                                                <w:div w:id="459807109">
                                                                                  <w:marLeft w:val="0"/>
                                                                                  <w:marRight w:val="0"/>
                                                                                  <w:marTop w:val="0"/>
                                                                                  <w:marBottom w:val="0"/>
                                                                                  <w:divBdr>
                                                                                    <w:top w:val="none" w:sz="0" w:space="0" w:color="auto"/>
                                                                                    <w:left w:val="none" w:sz="0" w:space="0" w:color="auto"/>
                                                                                    <w:bottom w:val="none" w:sz="0" w:space="0" w:color="auto"/>
                                                                                    <w:right w:val="none" w:sz="0" w:space="0" w:color="auto"/>
                                                                                  </w:divBdr>
                                                                                  <w:divsChild>
                                                                                    <w:div w:id="330255006">
                                                                                      <w:marLeft w:val="0"/>
                                                                                      <w:marRight w:val="0"/>
                                                                                      <w:marTop w:val="0"/>
                                                                                      <w:marBottom w:val="0"/>
                                                                                      <w:divBdr>
                                                                                        <w:top w:val="none" w:sz="0" w:space="0" w:color="auto"/>
                                                                                        <w:left w:val="none" w:sz="0" w:space="0" w:color="auto"/>
                                                                                        <w:bottom w:val="none" w:sz="0" w:space="0" w:color="auto"/>
                                                                                        <w:right w:val="none" w:sz="0" w:space="0" w:color="auto"/>
                                                                                      </w:divBdr>
                                                                                      <w:divsChild>
                                                                                        <w:div w:id="31503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9289284">
      <w:bodyDiv w:val="1"/>
      <w:marLeft w:val="0"/>
      <w:marRight w:val="0"/>
      <w:marTop w:val="0"/>
      <w:marBottom w:val="0"/>
      <w:divBdr>
        <w:top w:val="none" w:sz="0" w:space="0" w:color="auto"/>
        <w:left w:val="none" w:sz="0" w:space="0" w:color="auto"/>
        <w:bottom w:val="none" w:sz="0" w:space="0" w:color="auto"/>
        <w:right w:val="none" w:sz="0" w:space="0" w:color="auto"/>
      </w:divBdr>
    </w:div>
    <w:div w:id="333920947">
      <w:bodyDiv w:val="1"/>
      <w:marLeft w:val="0"/>
      <w:marRight w:val="0"/>
      <w:marTop w:val="0"/>
      <w:marBottom w:val="0"/>
      <w:divBdr>
        <w:top w:val="none" w:sz="0" w:space="0" w:color="auto"/>
        <w:left w:val="none" w:sz="0" w:space="0" w:color="auto"/>
        <w:bottom w:val="none" w:sz="0" w:space="0" w:color="auto"/>
        <w:right w:val="none" w:sz="0" w:space="0" w:color="auto"/>
      </w:divBdr>
    </w:div>
    <w:div w:id="728528534">
      <w:bodyDiv w:val="1"/>
      <w:marLeft w:val="0"/>
      <w:marRight w:val="0"/>
      <w:marTop w:val="0"/>
      <w:marBottom w:val="0"/>
      <w:divBdr>
        <w:top w:val="none" w:sz="0" w:space="0" w:color="auto"/>
        <w:left w:val="none" w:sz="0" w:space="0" w:color="auto"/>
        <w:bottom w:val="none" w:sz="0" w:space="0" w:color="auto"/>
        <w:right w:val="none" w:sz="0" w:space="0" w:color="auto"/>
      </w:divBdr>
    </w:div>
    <w:div w:id="751125058">
      <w:bodyDiv w:val="1"/>
      <w:marLeft w:val="0"/>
      <w:marRight w:val="0"/>
      <w:marTop w:val="0"/>
      <w:marBottom w:val="0"/>
      <w:divBdr>
        <w:top w:val="none" w:sz="0" w:space="0" w:color="auto"/>
        <w:left w:val="none" w:sz="0" w:space="0" w:color="auto"/>
        <w:bottom w:val="none" w:sz="0" w:space="0" w:color="auto"/>
        <w:right w:val="none" w:sz="0" w:space="0" w:color="auto"/>
      </w:divBdr>
    </w:div>
    <w:div w:id="986202137">
      <w:bodyDiv w:val="1"/>
      <w:marLeft w:val="0"/>
      <w:marRight w:val="0"/>
      <w:marTop w:val="0"/>
      <w:marBottom w:val="0"/>
      <w:divBdr>
        <w:top w:val="none" w:sz="0" w:space="0" w:color="auto"/>
        <w:left w:val="none" w:sz="0" w:space="0" w:color="auto"/>
        <w:bottom w:val="none" w:sz="0" w:space="0" w:color="auto"/>
        <w:right w:val="none" w:sz="0" w:space="0" w:color="auto"/>
      </w:divBdr>
    </w:div>
    <w:div w:id="1110928975">
      <w:bodyDiv w:val="1"/>
      <w:marLeft w:val="0"/>
      <w:marRight w:val="0"/>
      <w:marTop w:val="0"/>
      <w:marBottom w:val="0"/>
      <w:divBdr>
        <w:top w:val="none" w:sz="0" w:space="0" w:color="auto"/>
        <w:left w:val="none" w:sz="0" w:space="0" w:color="auto"/>
        <w:bottom w:val="none" w:sz="0" w:space="0" w:color="auto"/>
        <w:right w:val="none" w:sz="0" w:space="0" w:color="auto"/>
      </w:divBdr>
    </w:div>
    <w:div w:id="1463035664">
      <w:bodyDiv w:val="1"/>
      <w:marLeft w:val="0"/>
      <w:marRight w:val="0"/>
      <w:marTop w:val="0"/>
      <w:marBottom w:val="0"/>
      <w:divBdr>
        <w:top w:val="none" w:sz="0" w:space="0" w:color="auto"/>
        <w:left w:val="none" w:sz="0" w:space="0" w:color="auto"/>
        <w:bottom w:val="none" w:sz="0" w:space="0" w:color="auto"/>
        <w:right w:val="none" w:sz="0" w:space="0" w:color="auto"/>
      </w:divBdr>
    </w:div>
    <w:div w:id="173808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versereaction@drugsafet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eugia.co.in" TargetMode="External"/><Relationship Id="rId5" Type="http://schemas.openxmlformats.org/officeDocument/2006/relationships/hyperlink" Target="http://www.ndda.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7333</Words>
  <Characters>41803</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3</cp:revision>
  <dcterms:created xsi:type="dcterms:W3CDTF">2023-11-08T09:40:00Z</dcterms:created>
  <dcterms:modified xsi:type="dcterms:W3CDTF">2024-09-30T07:30:00Z</dcterms:modified>
</cp:coreProperties>
</file>